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B91" w:rsidRPr="007F4B91" w:rsidRDefault="007F4B91" w:rsidP="007F4B91">
      <w:pPr>
        <w:spacing w:line="360" w:lineRule="auto"/>
        <w:rPr>
          <w:rFonts w:ascii="Times New Roman" w:hAnsi="Times New Roman"/>
          <w:b/>
          <w:smallCaps/>
        </w:rPr>
      </w:pPr>
      <w:r w:rsidRPr="007F4B91">
        <w:rPr>
          <w:rFonts w:ascii="Times New Roman" w:hAnsi="Times New Roman"/>
          <w:b/>
          <w:smallCaps/>
        </w:rPr>
        <w:t xml:space="preserve">In the High Court of Justice </w:t>
      </w:r>
    </w:p>
    <w:p w:rsidR="007F4B91" w:rsidRPr="007F4B91" w:rsidRDefault="007F4B91" w:rsidP="007F4B91">
      <w:pPr>
        <w:spacing w:line="360" w:lineRule="auto"/>
        <w:rPr>
          <w:rFonts w:ascii="Times New Roman" w:hAnsi="Times New Roman"/>
          <w:b/>
          <w:smallCaps/>
        </w:rPr>
      </w:pPr>
      <w:r w:rsidRPr="007F4B91">
        <w:rPr>
          <w:rFonts w:ascii="Times New Roman" w:hAnsi="Times New Roman"/>
          <w:b/>
          <w:smallCaps/>
        </w:rPr>
        <w:t xml:space="preserve">Administrative Court </w:t>
      </w:r>
    </w:p>
    <w:p w:rsidR="007F4B91" w:rsidRPr="007F4B91" w:rsidRDefault="007F4B91" w:rsidP="007F4B91">
      <w:pPr>
        <w:spacing w:line="360" w:lineRule="auto"/>
        <w:rPr>
          <w:rFonts w:ascii="Times New Roman" w:hAnsi="Times New Roman"/>
          <w:b/>
          <w:smallCaps/>
        </w:rPr>
      </w:pPr>
      <w:r w:rsidRPr="007F4B91">
        <w:rPr>
          <w:rFonts w:ascii="Times New Roman" w:hAnsi="Times New Roman"/>
          <w:b/>
          <w:smallCaps/>
        </w:rPr>
        <w:t>Lord Carnwath</w:t>
      </w:r>
    </w:p>
    <w:p w:rsidR="007F4B91" w:rsidRPr="007F4B91" w:rsidRDefault="007F4B91" w:rsidP="007F4B91">
      <w:pPr>
        <w:spacing w:line="360" w:lineRule="auto"/>
        <w:rPr>
          <w:rFonts w:ascii="Times New Roman" w:hAnsi="Times New Roman"/>
          <w:b/>
          <w:smallCaps/>
        </w:rPr>
      </w:pPr>
      <w:r w:rsidRPr="007F4B91">
        <w:rPr>
          <w:rFonts w:ascii="Times New Roman" w:hAnsi="Times New Roman"/>
          <w:b/>
          <w:smallCaps/>
        </w:rPr>
        <w:t>CO/7326/2844; CO/732/2012</w:t>
      </w:r>
    </w:p>
    <w:p w:rsidR="007F4B91" w:rsidRPr="007F4B91" w:rsidRDefault="007F4B91" w:rsidP="007F4B91">
      <w:pPr>
        <w:spacing w:line="360" w:lineRule="auto"/>
        <w:jc w:val="center"/>
        <w:rPr>
          <w:rFonts w:ascii="Times New Roman" w:hAnsi="Times New Roman"/>
          <w:b/>
          <w:smallCaps/>
        </w:rPr>
      </w:pPr>
    </w:p>
    <w:p w:rsidR="007F4B91" w:rsidRPr="007F4B91" w:rsidRDefault="007F4B91" w:rsidP="007F4B91">
      <w:pPr>
        <w:spacing w:line="360" w:lineRule="auto"/>
        <w:jc w:val="center"/>
        <w:rPr>
          <w:rFonts w:ascii="Times New Roman" w:hAnsi="Times New Roman"/>
          <w:b/>
        </w:rPr>
      </w:pPr>
      <w:r w:rsidRPr="007F4B91">
        <w:rPr>
          <w:rFonts w:ascii="Times New Roman" w:hAnsi="Times New Roman"/>
          <w:b/>
        </w:rPr>
        <w:t>R (on the application of The Environmental Alliance of Buxton)</w:t>
      </w:r>
    </w:p>
    <w:p w:rsidR="007F4B91" w:rsidRPr="007F4B91" w:rsidRDefault="007F4B91" w:rsidP="007F4B91">
      <w:pPr>
        <w:spacing w:line="360" w:lineRule="auto"/>
        <w:jc w:val="right"/>
        <w:rPr>
          <w:rFonts w:ascii="Times New Roman" w:hAnsi="Times New Roman"/>
          <w:b/>
          <w:bCs/>
          <w:smallCaps/>
        </w:rPr>
      </w:pPr>
      <w:r w:rsidRPr="007F4B91">
        <w:rPr>
          <w:rFonts w:ascii="Times New Roman" w:hAnsi="Times New Roman"/>
          <w:b/>
          <w:bCs/>
          <w:smallCaps/>
        </w:rPr>
        <w:t>Applicant</w:t>
      </w:r>
    </w:p>
    <w:p w:rsidR="007F4B91" w:rsidRPr="007F4B91" w:rsidRDefault="007F4B91" w:rsidP="007F4B91">
      <w:pPr>
        <w:spacing w:line="360" w:lineRule="auto"/>
        <w:jc w:val="center"/>
        <w:rPr>
          <w:rFonts w:ascii="Times New Roman" w:hAnsi="Times New Roman"/>
          <w:b/>
        </w:rPr>
      </w:pPr>
      <w:proofErr w:type="gramStart"/>
      <w:r w:rsidRPr="007F4B91">
        <w:rPr>
          <w:rFonts w:ascii="Times New Roman" w:hAnsi="Times New Roman"/>
          <w:b/>
        </w:rPr>
        <w:t>and</w:t>
      </w:r>
      <w:proofErr w:type="gramEnd"/>
      <w:r w:rsidRPr="007F4B91">
        <w:rPr>
          <w:rFonts w:ascii="Times New Roman" w:hAnsi="Times New Roman"/>
          <w:b/>
        </w:rPr>
        <w:t xml:space="preserve"> </w:t>
      </w:r>
    </w:p>
    <w:p w:rsidR="007F4B91" w:rsidRPr="007F4B91" w:rsidRDefault="007F4B91" w:rsidP="007F4B91">
      <w:pPr>
        <w:spacing w:line="360" w:lineRule="auto"/>
        <w:jc w:val="center"/>
        <w:rPr>
          <w:rFonts w:ascii="Times New Roman" w:hAnsi="Times New Roman"/>
          <w:b/>
        </w:rPr>
      </w:pPr>
    </w:p>
    <w:p w:rsidR="007F4B91" w:rsidRPr="007F4B91" w:rsidRDefault="007F4B91" w:rsidP="007F4B91">
      <w:pPr>
        <w:spacing w:line="360" w:lineRule="auto"/>
        <w:jc w:val="center"/>
        <w:rPr>
          <w:rFonts w:ascii="Times New Roman" w:hAnsi="Times New Roman"/>
          <w:b/>
        </w:rPr>
      </w:pPr>
      <w:r w:rsidRPr="007F4B91">
        <w:rPr>
          <w:rFonts w:ascii="Times New Roman" w:hAnsi="Times New Roman"/>
          <w:b/>
        </w:rPr>
        <w:t>Secretary of State for Transport</w:t>
      </w:r>
    </w:p>
    <w:p w:rsidR="007F4B91" w:rsidRPr="007F4B91" w:rsidRDefault="007F4B91" w:rsidP="007F4B91">
      <w:pPr>
        <w:spacing w:line="360" w:lineRule="auto"/>
        <w:jc w:val="right"/>
        <w:rPr>
          <w:rFonts w:ascii="Times New Roman" w:hAnsi="Times New Roman"/>
          <w:b/>
          <w:bCs/>
          <w:smallCaps/>
        </w:rPr>
      </w:pPr>
      <w:r w:rsidRPr="007F4B91">
        <w:rPr>
          <w:rFonts w:ascii="Times New Roman" w:hAnsi="Times New Roman"/>
          <w:b/>
          <w:bCs/>
          <w:smallCaps/>
        </w:rPr>
        <w:t>Respondent</w:t>
      </w:r>
    </w:p>
    <w:p w:rsidR="00EF417A" w:rsidRPr="007F4B91" w:rsidRDefault="00EF417A" w:rsidP="00EF417A">
      <w:pPr>
        <w:spacing w:line="480" w:lineRule="auto"/>
        <w:jc w:val="center"/>
        <w:rPr>
          <w:rFonts w:ascii="Times New Roman" w:hAnsi="Times New Roman"/>
        </w:rPr>
      </w:pPr>
      <w:r w:rsidRPr="007F4B91">
        <w:rPr>
          <w:rFonts w:ascii="Times New Roman" w:hAnsi="Times New Roman"/>
        </w:rPr>
        <w:t xml:space="preserve">________________________________________________ </w:t>
      </w:r>
    </w:p>
    <w:p w:rsidR="00EF417A" w:rsidRPr="007F4B91" w:rsidRDefault="00EF417A" w:rsidP="00EF417A">
      <w:pPr>
        <w:spacing w:line="480" w:lineRule="auto"/>
        <w:jc w:val="center"/>
        <w:rPr>
          <w:rFonts w:ascii="Times New Roman" w:hAnsi="Times New Roman"/>
        </w:rPr>
      </w:pPr>
    </w:p>
    <w:p w:rsidR="00EF417A" w:rsidRPr="007F4B91" w:rsidRDefault="00EF417A" w:rsidP="00EF417A">
      <w:pPr>
        <w:pStyle w:val="3"/>
        <w:spacing w:line="480" w:lineRule="auto"/>
        <w:rPr>
          <w:b w:val="0"/>
          <w:i/>
          <w:szCs w:val="24"/>
        </w:rPr>
      </w:pPr>
      <w:r w:rsidRPr="007F4B91">
        <w:rPr>
          <w:szCs w:val="24"/>
        </w:rPr>
        <w:t>Index to Bundle</w:t>
      </w:r>
    </w:p>
    <w:p w:rsidR="00EF417A" w:rsidRPr="007F4B91" w:rsidRDefault="00EF417A" w:rsidP="00EF417A">
      <w:pPr>
        <w:spacing w:line="480" w:lineRule="auto"/>
        <w:jc w:val="center"/>
        <w:rPr>
          <w:rFonts w:ascii="Times New Roman" w:hAnsi="Times New Roman"/>
        </w:rPr>
      </w:pPr>
      <w:r w:rsidRPr="007F4B91">
        <w:rPr>
          <w:rFonts w:ascii="Times New Roman" w:hAnsi="Times New Roman"/>
        </w:rPr>
        <w:t xml:space="preserve">________________________________________________ </w:t>
      </w:r>
    </w:p>
    <w:p w:rsidR="007F4B91" w:rsidRDefault="007F4B91" w:rsidP="00EF417A">
      <w:pPr>
        <w:spacing w:line="480" w:lineRule="auto"/>
        <w:jc w:val="both"/>
        <w:rPr>
          <w:rFonts w:ascii="Times New Roman" w:hAnsi="Times New Roman"/>
          <w:b/>
        </w:rPr>
      </w:pPr>
    </w:p>
    <w:p w:rsidR="00EF417A" w:rsidRPr="007F4B91" w:rsidRDefault="00EF417A" w:rsidP="00EF417A">
      <w:pPr>
        <w:spacing w:line="480" w:lineRule="auto"/>
        <w:jc w:val="both"/>
        <w:rPr>
          <w:rFonts w:ascii="Times New Roman" w:hAnsi="Times New Roman"/>
          <w:b/>
        </w:rPr>
      </w:pPr>
      <w:r w:rsidRPr="007F4B91">
        <w:rPr>
          <w:rFonts w:ascii="Times New Roman" w:hAnsi="Times New Roman"/>
          <w:b/>
        </w:rPr>
        <w:t>A: Practice Documents</w:t>
      </w:r>
    </w:p>
    <w:p w:rsidR="00EF417A" w:rsidRPr="007F4B91" w:rsidRDefault="00EF417A" w:rsidP="00EF417A">
      <w:pPr>
        <w:pStyle w:val="a3"/>
        <w:numPr>
          <w:ilvl w:val="0"/>
          <w:numId w:val="2"/>
        </w:numPr>
        <w:rPr>
          <w:rFonts w:ascii="Times New Roman" w:hAnsi="Times New Roman"/>
        </w:rPr>
      </w:pPr>
      <w:r w:rsidRPr="007F4B91">
        <w:rPr>
          <w:rFonts w:ascii="Times New Roman" w:hAnsi="Times New Roman"/>
        </w:rPr>
        <w:t xml:space="preserve">Agreed statement of facts </w:t>
      </w:r>
      <w:r w:rsidR="007867B3">
        <w:rPr>
          <w:rFonts w:ascii="Times New Roman" w:eastAsiaTheme="minorEastAsia" w:hAnsi="Times New Roman" w:hint="eastAsia"/>
          <w:lang w:eastAsia="zh-CN"/>
        </w:rPr>
        <w:t xml:space="preserve">                                     </w:t>
      </w:r>
      <w:r w:rsidR="005B2FE7">
        <w:rPr>
          <w:rFonts w:ascii="Times New Roman" w:eastAsiaTheme="minorEastAsia" w:hAnsi="Times New Roman" w:hint="eastAsia"/>
          <w:lang w:eastAsia="zh-CN"/>
        </w:rPr>
        <w:t>P</w:t>
      </w:r>
      <w:r w:rsidR="007867B3">
        <w:rPr>
          <w:rFonts w:ascii="Times New Roman" w:eastAsiaTheme="minorEastAsia" w:hAnsi="Times New Roman" w:hint="eastAsia"/>
          <w:lang w:eastAsia="zh-CN"/>
        </w:rPr>
        <w:t>2</w:t>
      </w:r>
    </w:p>
    <w:p w:rsidR="00B2159E" w:rsidRPr="007F4B91" w:rsidRDefault="00EF417A" w:rsidP="00EF417A">
      <w:pPr>
        <w:pStyle w:val="a3"/>
        <w:numPr>
          <w:ilvl w:val="0"/>
          <w:numId w:val="2"/>
        </w:numPr>
        <w:rPr>
          <w:rFonts w:ascii="Times New Roman" w:hAnsi="Times New Roman"/>
        </w:rPr>
      </w:pPr>
      <w:r w:rsidRPr="007F4B91">
        <w:rPr>
          <w:rFonts w:ascii="Times New Roman" w:hAnsi="Times New Roman"/>
        </w:rPr>
        <w:t xml:space="preserve">Skeleton argument for the </w:t>
      </w:r>
      <w:r w:rsidR="007F4B91">
        <w:rPr>
          <w:rFonts w:ascii="Times New Roman" w:hAnsi="Times New Roman"/>
        </w:rPr>
        <w:t>Applicant</w:t>
      </w:r>
      <w:r w:rsidR="005B2FE7">
        <w:rPr>
          <w:rFonts w:ascii="Times New Roman" w:eastAsiaTheme="minorEastAsia" w:hAnsi="Times New Roman" w:hint="eastAsia"/>
          <w:lang w:eastAsia="zh-CN"/>
        </w:rPr>
        <w:t xml:space="preserve">                     P6</w:t>
      </w:r>
    </w:p>
    <w:p w:rsidR="00EF417A" w:rsidRPr="007F4B91" w:rsidRDefault="00EF417A" w:rsidP="00EF417A">
      <w:pPr>
        <w:pStyle w:val="a3"/>
        <w:numPr>
          <w:ilvl w:val="0"/>
          <w:numId w:val="2"/>
        </w:numPr>
        <w:rPr>
          <w:rFonts w:ascii="Times New Roman" w:hAnsi="Times New Roman"/>
        </w:rPr>
      </w:pPr>
      <w:r w:rsidRPr="007F4B91">
        <w:rPr>
          <w:rFonts w:ascii="Times New Roman" w:hAnsi="Times New Roman"/>
        </w:rPr>
        <w:t xml:space="preserve">Skeleton argument for the </w:t>
      </w:r>
      <w:r w:rsidR="007F4B91">
        <w:rPr>
          <w:rFonts w:ascii="Times New Roman" w:hAnsi="Times New Roman"/>
        </w:rPr>
        <w:t>Respondent</w:t>
      </w:r>
      <w:r w:rsidR="00DC45FC">
        <w:rPr>
          <w:rFonts w:ascii="Times New Roman" w:eastAsiaTheme="minorEastAsia" w:hAnsi="Times New Roman" w:hint="eastAsia"/>
          <w:lang w:eastAsia="zh-CN"/>
        </w:rPr>
        <w:t xml:space="preserve">                  P21</w:t>
      </w:r>
    </w:p>
    <w:p w:rsidR="00EF417A" w:rsidRPr="007F4B91" w:rsidRDefault="00EF417A" w:rsidP="00EF417A">
      <w:pPr>
        <w:rPr>
          <w:rFonts w:ascii="Times New Roman" w:hAnsi="Times New Roman"/>
        </w:rPr>
      </w:pPr>
    </w:p>
    <w:p w:rsidR="00EF417A" w:rsidRPr="007F4B91" w:rsidRDefault="00EF417A" w:rsidP="00EF417A">
      <w:pPr>
        <w:rPr>
          <w:rFonts w:ascii="Times New Roman" w:hAnsi="Times New Roman"/>
          <w:b/>
        </w:rPr>
      </w:pPr>
      <w:r w:rsidRPr="007F4B91">
        <w:rPr>
          <w:rFonts w:ascii="Times New Roman" w:hAnsi="Times New Roman"/>
          <w:b/>
        </w:rPr>
        <w:t>B: Appendix of Documents</w:t>
      </w:r>
    </w:p>
    <w:p w:rsidR="00EF417A" w:rsidRPr="007F4B91" w:rsidRDefault="00EF417A" w:rsidP="00EF417A">
      <w:pPr>
        <w:rPr>
          <w:rFonts w:ascii="Times New Roman" w:hAnsi="Times New Roman"/>
        </w:rPr>
      </w:pPr>
    </w:p>
    <w:p w:rsidR="00EF417A" w:rsidRPr="007F4B91" w:rsidRDefault="007F4B91" w:rsidP="00EF417A">
      <w:pPr>
        <w:pStyle w:val="a3"/>
        <w:numPr>
          <w:ilvl w:val="0"/>
          <w:numId w:val="3"/>
        </w:numPr>
        <w:rPr>
          <w:rFonts w:ascii="Times New Roman" w:hAnsi="Times New Roman"/>
        </w:rPr>
      </w:pPr>
      <w:r>
        <w:rPr>
          <w:rFonts w:ascii="Times New Roman" w:hAnsi="Times New Roman"/>
        </w:rPr>
        <w:t>Relevant sections of the Transport Act (2013) (fictional)</w:t>
      </w:r>
      <w:r w:rsidR="00DC45FC">
        <w:rPr>
          <w:rFonts w:ascii="Times New Roman" w:eastAsiaTheme="minorEastAsia" w:hAnsi="Times New Roman" w:hint="eastAsia"/>
          <w:lang w:eastAsia="zh-CN"/>
        </w:rPr>
        <w:t xml:space="preserve">                    P40</w:t>
      </w:r>
      <w:r>
        <w:rPr>
          <w:rFonts w:ascii="Times New Roman" w:hAnsi="Times New Roman"/>
        </w:rPr>
        <w:t xml:space="preserve"> </w:t>
      </w:r>
    </w:p>
    <w:p w:rsidR="007F4B91" w:rsidRDefault="007F4B91" w:rsidP="00EF417A">
      <w:pPr>
        <w:pStyle w:val="a3"/>
        <w:numPr>
          <w:ilvl w:val="0"/>
          <w:numId w:val="3"/>
        </w:numPr>
        <w:rPr>
          <w:rFonts w:ascii="Times New Roman" w:hAnsi="Times New Roman"/>
        </w:rPr>
      </w:pPr>
      <w:r>
        <w:rPr>
          <w:rFonts w:ascii="Times New Roman" w:hAnsi="Times New Roman"/>
        </w:rPr>
        <w:t>Relevant sections of the Senior Courts Act (1981)</w:t>
      </w:r>
      <w:r w:rsidR="00DC45FC">
        <w:rPr>
          <w:rFonts w:ascii="Times New Roman" w:eastAsiaTheme="minorEastAsia" w:hAnsi="Times New Roman" w:hint="eastAsia"/>
          <w:lang w:eastAsia="zh-CN"/>
        </w:rPr>
        <w:t xml:space="preserve">                              P41</w:t>
      </w:r>
    </w:p>
    <w:p w:rsidR="00FC550C" w:rsidRDefault="007F4B91" w:rsidP="00FC550C">
      <w:pPr>
        <w:pStyle w:val="a3"/>
        <w:numPr>
          <w:ilvl w:val="0"/>
          <w:numId w:val="3"/>
        </w:numPr>
        <w:spacing w:after="200" w:line="276" w:lineRule="auto"/>
        <w:rPr>
          <w:rFonts w:ascii="Times New Roman" w:eastAsiaTheme="minorEastAsia" w:hAnsi="Times New Roman" w:hint="eastAsia"/>
          <w:lang w:eastAsia="zh-CN"/>
        </w:rPr>
      </w:pPr>
      <w:r w:rsidRPr="00FC550C">
        <w:rPr>
          <w:rFonts w:ascii="Times New Roman" w:hAnsi="Times New Roman"/>
        </w:rPr>
        <w:t xml:space="preserve">Relevant sections of the Freedom of Information Act 2000 (FOAI) </w:t>
      </w:r>
      <w:r w:rsidR="00DC45FC">
        <w:rPr>
          <w:rFonts w:ascii="Times New Roman" w:eastAsiaTheme="minorEastAsia" w:hAnsi="Times New Roman" w:hint="eastAsia"/>
          <w:lang w:eastAsia="zh-CN"/>
        </w:rPr>
        <w:t xml:space="preserve">  P42</w:t>
      </w:r>
    </w:p>
    <w:p w:rsidR="00FC550C" w:rsidRDefault="00FC550C">
      <w:pPr>
        <w:spacing w:after="200" w:line="276" w:lineRule="auto"/>
        <w:rPr>
          <w:rFonts w:ascii="Times New Roman" w:eastAsiaTheme="minorEastAsia" w:hAnsi="Times New Roman"/>
          <w:lang w:eastAsia="zh-CN"/>
        </w:rPr>
      </w:pPr>
      <w:r>
        <w:rPr>
          <w:rFonts w:ascii="Times New Roman" w:eastAsiaTheme="minorEastAsia" w:hAnsi="Times New Roman"/>
          <w:lang w:eastAsia="zh-CN"/>
        </w:rPr>
        <w:br w:type="page"/>
      </w:r>
    </w:p>
    <w:p w:rsidR="00187DF3" w:rsidRPr="00BE2713" w:rsidRDefault="00187DF3" w:rsidP="00187DF3">
      <w:pPr>
        <w:spacing w:line="360" w:lineRule="auto"/>
        <w:rPr>
          <w:b/>
          <w:smallCaps/>
        </w:rPr>
      </w:pPr>
      <w:r w:rsidRPr="00BE2713">
        <w:rPr>
          <w:b/>
          <w:smallCaps/>
        </w:rPr>
        <w:lastRenderedPageBreak/>
        <w:t xml:space="preserve">In the High Court of Justice </w:t>
      </w:r>
    </w:p>
    <w:p w:rsidR="00187DF3" w:rsidRPr="00BE2713" w:rsidRDefault="00187DF3" w:rsidP="00187DF3">
      <w:pPr>
        <w:spacing w:line="360" w:lineRule="auto"/>
        <w:rPr>
          <w:b/>
          <w:smallCaps/>
        </w:rPr>
      </w:pPr>
      <w:r w:rsidRPr="00BE2713">
        <w:rPr>
          <w:b/>
          <w:smallCaps/>
        </w:rPr>
        <w:t xml:space="preserve">Administrative Court </w:t>
      </w:r>
    </w:p>
    <w:p w:rsidR="00187DF3" w:rsidRPr="00BE2713" w:rsidRDefault="00187DF3" w:rsidP="00187DF3">
      <w:pPr>
        <w:spacing w:line="360" w:lineRule="auto"/>
        <w:rPr>
          <w:b/>
          <w:smallCaps/>
        </w:rPr>
      </w:pPr>
      <w:r>
        <w:rPr>
          <w:b/>
          <w:smallCaps/>
        </w:rPr>
        <w:t xml:space="preserve">Lord </w:t>
      </w:r>
      <w:proofErr w:type="spellStart"/>
      <w:r>
        <w:rPr>
          <w:b/>
          <w:smallCaps/>
        </w:rPr>
        <w:t>Carnwath</w:t>
      </w:r>
      <w:proofErr w:type="spellEnd"/>
    </w:p>
    <w:p w:rsidR="00187DF3" w:rsidRPr="00BE2713" w:rsidRDefault="00187DF3" w:rsidP="00187DF3">
      <w:pPr>
        <w:spacing w:line="360" w:lineRule="auto"/>
        <w:rPr>
          <w:b/>
          <w:smallCaps/>
        </w:rPr>
      </w:pPr>
      <w:r w:rsidRPr="00BE2713">
        <w:rPr>
          <w:b/>
          <w:smallCaps/>
        </w:rPr>
        <w:t>CO/7326/2844; CO/732/2012</w:t>
      </w:r>
    </w:p>
    <w:p w:rsidR="00187DF3" w:rsidRPr="00BE2713" w:rsidRDefault="00187DF3" w:rsidP="00187DF3">
      <w:pPr>
        <w:spacing w:line="360" w:lineRule="auto"/>
        <w:jc w:val="center"/>
        <w:rPr>
          <w:b/>
          <w:smallCaps/>
        </w:rPr>
      </w:pPr>
    </w:p>
    <w:p w:rsidR="00187DF3" w:rsidRPr="00BE2713" w:rsidRDefault="00187DF3" w:rsidP="00187DF3">
      <w:pPr>
        <w:spacing w:line="360" w:lineRule="auto"/>
        <w:jc w:val="center"/>
        <w:rPr>
          <w:b/>
        </w:rPr>
      </w:pPr>
      <w:r w:rsidRPr="00BE2713">
        <w:rPr>
          <w:b/>
        </w:rPr>
        <w:t xml:space="preserve">R (on the application of The Environmental Alliance of </w:t>
      </w:r>
      <w:r>
        <w:rPr>
          <w:b/>
        </w:rPr>
        <w:t>Buxton</w:t>
      </w:r>
      <w:r w:rsidRPr="00BE2713">
        <w:rPr>
          <w:b/>
        </w:rPr>
        <w:t>)</w:t>
      </w:r>
    </w:p>
    <w:p w:rsidR="00187DF3" w:rsidRPr="0090421A" w:rsidRDefault="00187DF3" w:rsidP="00187DF3">
      <w:pPr>
        <w:spacing w:line="360" w:lineRule="auto"/>
        <w:jc w:val="right"/>
        <w:rPr>
          <w:b/>
          <w:bCs/>
          <w:smallCaps/>
        </w:rPr>
      </w:pPr>
      <w:r w:rsidRPr="0090421A">
        <w:rPr>
          <w:b/>
          <w:bCs/>
          <w:smallCaps/>
        </w:rPr>
        <w:t>Applicant</w:t>
      </w:r>
    </w:p>
    <w:p w:rsidR="00187DF3" w:rsidRPr="00BE2713" w:rsidRDefault="00187DF3" w:rsidP="00187DF3">
      <w:pPr>
        <w:spacing w:line="360" w:lineRule="auto"/>
        <w:jc w:val="center"/>
        <w:rPr>
          <w:b/>
        </w:rPr>
      </w:pPr>
      <w:proofErr w:type="gramStart"/>
      <w:r w:rsidRPr="00BE2713">
        <w:rPr>
          <w:b/>
        </w:rPr>
        <w:t>and</w:t>
      </w:r>
      <w:proofErr w:type="gramEnd"/>
      <w:r w:rsidRPr="00BE2713">
        <w:rPr>
          <w:b/>
        </w:rPr>
        <w:t xml:space="preserve"> </w:t>
      </w:r>
    </w:p>
    <w:p w:rsidR="00187DF3" w:rsidRPr="00BE2713" w:rsidRDefault="00187DF3" w:rsidP="00187DF3">
      <w:pPr>
        <w:spacing w:line="360" w:lineRule="auto"/>
        <w:jc w:val="center"/>
        <w:rPr>
          <w:b/>
        </w:rPr>
      </w:pPr>
    </w:p>
    <w:p w:rsidR="00187DF3" w:rsidRPr="00BE2713" w:rsidRDefault="00187DF3" w:rsidP="00187DF3">
      <w:pPr>
        <w:spacing w:line="360" w:lineRule="auto"/>
        <w:jc w:val="center"/>
        <w:rPr>
          <w:b/>
        </w:rPr>
      </w:pPr>
      <w:r w:rsidRPr="00BE2713">
        <w:rPr>
          <w:b/>
        </w:rPr>
        <w:t>Secretary of State for Transport</w:t>
      </w:r>
    </w:p>
    <w:p w:rsidR="00187DF3" w:rsidRPr="0090421A" w:rsidRDefault="00187DF3" w:rsidP="00187DF3">
      <w:pPr>
        <w:spacing w:line="360" w:lineRule="auto"/>
        <w:jc w:val="right"/>
        <w:rPr>
          <w:b/>
          <w:bCs/>
          <w:smallCaps/>
        </w:rPr>
      </w:pPr>
      <w:r w:rsidRPr="0090421A">
        <w:rPr>
          <w:b/>
          <w:bCs/>
          <w:smallCaps/>
        </w:rPr>
        <w:t>Respondent</w:t>
      </w:r>
    </w:p>
    <w:p w:rsidR="00187DF3" w:rsidRPr="00111A64" w:rsidRDefault="00187DF3" w:rsidP="00187DF3">
      <w:pPr>
        <w:spacing w:before="240" w:after="240" w:line="360" w:lineRule="auto"/>
        <w:jc w:val="center"/>
        <w:rPr>
          <w:rFonts w:ascii="Palatino Linotype" w:hAnsi="Palatino Linotype"/>
          <w:sz w:val="22"/>
        </w:rPr>
      </w:pPr>
      <w:r w:rsidRPr="00111A64">
        <w:rPr>
          <w:rFonts w:ascii="Palatino Linotype" w:hAnsi="Palatino Linotype"/>
          <w:sz w:val="22"/>
        </w:rPr>
        <w:t xml:space="preserve">_____________________________________________ </w:t>
      </w:r>
    </w:p>
    <w:p w:rsidR="00187DF3" w:rsidRPr="00111A64" w:rsidRDefault="00187DF3" w:rsidP="00187DF3">
      <w:pPr>
        <w:spacing w:line="360" w:lineRule="auto"/>
        <w:jc w:val="center"/>
        <w:rPr>
          <w:rFonts w:ascii="Palatino Linotype" w:hAnsi="Palatino Linotype"/>
          <w:b/>
          <w:sz w:val="22"/>
        </w:rPr>
      </w:pPr>
      <w:r w:rsidRPr="00111A64">
        <w:rPr>
          <w:rFonts w:ascii="Palatino Linotype" w:hAnsi="Palatino Linotype"/>
          <w:b/>
          <w:sz w:val="22"/>
        </w:rPr>
        <w:t xml:space="preserve">AGREED </w:t>
      </w:r>
      <w:r>
        <w:rPr>
          <w:rFonts w:ascii="Palatino Linotype" w:hAnsi="Palatino Linotype"/>
          <w:b/>
          <w:sz w:val="22"/>
        </w:rPr>
        <w:t xml:space="preserve">STATEMENT OF </w:t>
      </w:r>
      <w:r w:rsidRPr="00111A64">
        <w:rPr>
          <w:rFonts w:ascii="Palatino Linotype" w:hAnsi="Palatino Linotype"/>
          <w:b/>
          <w:sz w:val="22"/>
        </w:rPr>
        <w:t>FACTS</w:t>
      </w:r>
    </w:p>
    <w:p w:rsidR="00187DF3" w:rsidRPr="00111A64" w:rsidRDefault="00187DF3" w:rsidP="00187DF3">
      <w:pPr>
        <w:spacing w:before="240" w:after="240" w:line="360" w:lineRule="auto"/>
        <w:jc w:val="center"/>
        <w:rPr>
          <w:rFonts w:ascii="Palatino Linotype" w:hAnsi="Palatino Linotype"/>
        </w:rPr>
      </w:pPr>
      <w:r w:rsidRPr="00111A64">
        <w:rPr>
          <w:rFonts w:ascii="Palatino Linotype" w:hAnsi="Palatino Linotype"/>
          <w:sz w:val="22"/>
        </w:rPr>
        <w:t xml:space="preserve">________________________________________________ </w:t>
      </w:r>
    </w:p>
    <w:p w:rsidR="00187DF3" w:rsidRDefault="00187DF3" w:rsidP="00187DF3">
      <w:pPr>
        <w:pStyle w:val="a8"/>
        <w:spacing w:after="200" w:line="360" w:lineRule="auto"/>
        <w:jc w:val="both"/>
      </w:pPr>
    </w:p>
    <w:p w:rsidR="00187DF3" w:rsidRPr="00A00EF9" w:rsidRDefault="00187DF3" w:rsidP="00187DF3">
      <w:pPr>
        <w:pStyle w:val="a8"/>
        <w:spacing w:after="200" w:line="360" w:lineRule="auto"/>
        <w:jc w:val="both"/>
      </w:pPr>
      <w:r w:rsidRPr="00A00EF9">
        <w:t xml:space="preserve">The UK Government decided to construct a high-speed railway from London to Manchester. During the </w:t>
      </w:r>
      <w:r>
        <w:t>planning process</w:t>
      </w:r>
      <w:r w:rsidRPr="00A00EF9">
        <w:t xml:space="preserve">, there were concerns raised because the planned route runs through a </w:t>
      </w:r>
      <w:proofErr w:type="spellStart"/>
      <w:r w:rsidRPr="00A00EF9">
        <w:t>moor</w:t>
      </w:r>
      <w:proofErr w:type="spellEnd"/>
      <w:r w:rsidRPr="00A00EF9">
        <w:t xml:space="preserve"> near Buxton, which is the only remaining habitat of four endangered species of amphibians. It is believed </w:t>
      </w:r>
      <w:r>
        <w:t xml:space="preserve">by some environmental interest groups </w:t>
      </w:r>
      <w:r w:rsidRPr="00A00EF9">
        <w:t xml:space="preserve">that the construction of the railway is likely to result in the extinction of at least two species. </w:t>
      </w:r>
      <w:r>
        <w:t xml:space="preserve">The Government undertook extensive consultations with all interested stakeholders regarding the likelihood of extinction and the longer term impact on endangered amphibian species of allowing pollution resulting from road travel to increase unabated. Based on these consultations, the </w:t>
      </w:r>
      <w:r w:rsidRPr="00A00EF9">
        <w:t xml:space="preserve">Government decided to proceed with the construction of the railway. </w:t>
      </w:r>
    </w:p>
    <w:p w:rsidR="00187DF3" w:rsidRPr="00A00EF9" w:rsidRDefault="00187DF3" w:rsidP="00187DF3">
      <w:pPr>
        <w:pStyle w:val="a8"/>
        <w:spacing w:after="200" w:line="360" w:lineRule="auto"/>
        <w:jc w:val="both"/>
      </w:pPr>
      <w:r w:rsidRPr="00A00EF9">
        <w:t>As the owner of the land</w:t>
      </w:r>
      <w:r>
        <w:t xml:space="preserve"> on which the railway was to be built (</w:t>
      </w:r>
      <w:r w:rsidRPr="00A00EF9">
        <w:t>a charitable trust for the conservation of the land</w:t>
      </w:r>
      <w:r>
        <w:t>)</w:t>
      </w:r>
      <w:r w:rsidRPr="00A00EF9">
        <w:t xml:space="preserve">, did not wish to sell the land, the Secretary of State for Transport used his powers under s.27 of the (fictional) Transport Act 2013 to make a compulsory purchase. Insofar as relevant, </w:t>
      </w:r>
      <w:proofErr w:type="gramStart"/>
      <w:r w:rsidRPr="00A00EF9">
        <w:t>s.27(</w:t>
      </w:r>
      <w:proofErr w:type="gramEnd"/>
      <w:r w:rsidRPr="00A00EF9">
        <w:t xml:space="preserve">1) of the Act provides that the Secretary of State ‘may make compulsory purchases, where </w:t>
      </w:r>
      <w:r>
        <w:t>s</w:t>
      </w:r>
      <w:r w:rsidRPr="00A00EF9">
        <w:t xml:space="preserve">he considers it necessary’, and s.27(2) that </w:t>
      </w:r>
      <w:r>
        <w:t>‘</w:t>
      </w:r>
      <w:r w:rsidRPr="00A00EF9">
        <w:t>[</w:t>
      </w:r>
      <w:proofErr w:type="spellStart"/>
      <w:r w:rsidRPr="00A00EF9">
        <w:t>i</w:t>
      </w:r>
      <w:proofErr w:type="spellEnd"/>
      <w:r w:rsidRPr="00A00EF9">
        <w:t>]</w:t>
      </w:r>
      <w:r w:rsidRPr="00A00EF9">
        <w:rPr>
          <w:rFonts w:eastAsia="Cambria"/>
          <w:color w:val="000000"/>
          <w:u w:color="000000"/>
        </w:rPr>
        <w:t xml:space="preserve">n the exercise of </w:t>
      </w:r>
      <w:r>
        <w:rPr>
          <w:rFonts w:eastAsia="Cambria"/>
          <w:color w:val="000000"/>
          <w:u w:color="000000"/>
        </w:rPr>
        <w:t>her</w:t>
      </w:r>
      <w:r w:rsidRPr="00A00EF9">
        <w:rPr>
          <w:rFonts w:eastAsia="Cambria"/>
          <w:color w:val="000000"/>
          <w:u w:color="000000"/>
        </w:rPr>
        <w:t xml:space="preserve"> functions under this </w:t>
      </w:r>
      <w:r w:rsidRPr="00A00EF9">
        <w:t>section</w:t>
      </w:r>
      <w:r w:rsidRPr="00A00EF9">
        <w:rPr>
          <w:rFonts w:eastAsia="Cambria"/>
          <w:color w:val="000000"/>
          <w:u w:color="000000"/>
        </w:rPr>
        <w:t xml:space="preserve"> it shall be the duty of </w:t>
      </w:r>
      <w:r w:rsidRPr="00A00EF9">
        <w:t>the Secretary of State</w:t>
      </w:r>
      <w:r w:rsidRPr="00A00EF9">
        <w:rPr>
          <w:rFonts w:eastAsia="Cambria"/>
          <w:color w:val="000000"/>
          <w:u w:color="000000"/>
        </w:rPr>
        <w:t xml:space="preserve"> to </w:t>
      </w:r>
      <w:r w:rsidRPr="00A00EF9">
        <w:rPr>
          <w:rFonts w:eastAsia="Cambria"/>
          <w:color w:val="000000"/>
          <w:u w:color="000000"/>
        </w:rPr>
        <w:lastRenderedPageBreak/>
        <w:t>have due regard to—(a)</w:t>
      </w:r>
      <w:r w:rsidRPr="00A00EF9">
        <w:t xml:space="preserve"> </w:t>
      </w:r>
      <w:r w:rsidRPr="00A00EF9">
        <w:rPr>
          <w:rFonts w:eastAsia="Cambria"/>
          <w:color w:val="000000"/>
          <w:u w:color="000000"/>
        </w:rPr>
        <w:t xml:space="preserve">the </w:t>
      </w:r>
      <w:r w:rsidRPr="00A00EF9">
        <w:t>need to protect the environment</w:t>
      </w:r>
      <w:r w:rsidRPr="00A00EF9">
        <w:rPr>
          <w:rFonts w:eastAsia="Cambria"/>
          <w:color w:val="000000"/>
          <w:u w:color="000000"/>
        </w:rPr>
        <w:t>, and</w:t>
      </w:r>
      <w:r w:rsidRPr="00A00EF9">
        <w:t xml:space="preserve"> </w:t>
      </w:r>
      <w:r w:rsidRPr="00A00EF9">
        <w:rPr>
          <w:rFonts w:eastAsia="Cambria"/>
          <w:color w:val="000000"/>
          <w:u w:color="000000"/>
        </w:rPr>
        <w:t>(b)</w:t>
      </w:r>
      <w:r>
        <w:t xml:space="preserve"> the need to preserve</w:t>
      </w:r>
      <w:r w:rsidRPr="00A00EF9">
        <w:t xml:space="preserve"> biodiversity.</w:t>
      </w:r>
      <w:r>
        <w:t>’ Following some publicity on regarding the compulsory purchase order</w:t>
      </w:r>
      <w:r w:rsidRPr="00A00EF9">
        <w:t xml:space="preserve">, the Department of Transport released a statement which stated that an objective of the high-speed railway was ‘to shift a significant amount of goods and passenger transit from the road to rail,’ and that ‘the Government believes that this will preserve biodiversity and protect the environment because it will control the rise of global warming’. </w:t>
      </w:r>
    </w:p>
    <w:p w:rsidR="00187DF3" w:rsidRPr="00A00EF9" w:rsidRDefault="00187DF3" w:rsidP="00187DF3">
      <w:pPr>
        <w:pStyle w:val="a8"/>
        <w:spacing w:after="200" w:line="360" w:lineRule="auto"/>
        <w:jc w:val="both"/>
      </w:pPr>
      <w:r w:rsidRPr="00A00EF9">
        <w:t>The Environmental Alliance for Buxton</w:t>
      </w:r>
      <w:r>
        <w:t xml:space="preserve"> (the ‘Alliance’)</w:t>
      </w:r>
      <w:r w:rsidRPr="00A00EF9">
        <w:t xml:space="preserve">, a charity established for the protection of endangered animals, </w:t>
      </w:r>
      <w:r>
        <w:t xml:space="preserve">participated vigorously in the Government’s consultations, maintaining the position that the extinction of at least two amphibian species outweighed any environmental benefit derived from decreasing global warming through shifting the focus of transport in the UK from the roads to highly efficient rail services.  </w:t>
      </w:r>
      <w:r w:rsidRPr="00A00EF9">
        <w:t xml:space="preserve">On behalf of its 850 members, who all reside </w:t>
      </w:r>
      <w:r>
        <w:t>near</w:t>
      </w:r>
      <w:r w:rsidRPr="00A00EF9">
        <w:t xml:space="preserve"> Buxton and are </w:t>
      </w:r>
      <w:proofErr w:type="spellStart"/>
      <w:r w:rsidRPr="00A00EF9">
        <w:t>moor</w:t>
      </w:r>
      <w:proofErr w:type="spellEnd"/>
      <w:r w:rsidRPr="00A00EF9">
        <w:t xml:space="preserve"> rambling amphibian spotters, the Alliance filed a request with the Department of Transport under the Freedom of Information Act 2000 (‘FOIA’) for the minutes and supporting documentation of all the meetings where the compulsory </w:t>
      </w:r>
      <w:r>
        <w:t xml:space="preserve">purchase </w:t>
      </w:r>
      <w:r w:rsidRPr="00A00EF9">
        <w:t xml:space="preserve">was discussed. The Department of the Transport refused the requests on the grounds of </w:t>
      </w:r>
      <w:proofErr w:type="gramStart"/>
      <w:r w:rsidRPr="00A00EF9">
        <w:t>ss.36(</w:t>
      </w:r>
      <w:proofErr w:type="gramEnd"/>
      <w:r w:rsidRPr="00A00EF9">
        <w:t xml:space="preserve">2)(b)(ii), 36(2)(c) and 43(2) FOIA. The Department maintains that the meeting minutes should be exempt because the disclosure of the minutes is likely to ‘inhibit the free and frank exchange of views for the purposes of deliberation’ pursuant to s.36(2)(b)(ii) FOIA and likely to ‘prejudice the effective conduct of public affairs’ pursuant to s.36(2)(c) FOIA. In addition, the release of the supporting documents, including the relevant bid documents and planning proposals, might reveal commercially sensitive information about the business processes of their contractors for the project. Therefore, the </w:t>
      </w:r>
      <w:r>
        <w:t xml:space="preserve">Secretary of State for Transport maintained that </w:t>
      </w:r>
      <w:r w:rsidRPr="00A00EF9">
        <w:t xml:space="preserve">disclosure would be likely to ‘prejudice the commercial interest of any person’ and should </w:t>
      </w:r>
      <w:r>
        <w:t xml:space="preserve">therefore </w:t>
      </w:r>
      <w:r w:rsidRPr="00A00EF9">
        <w:t xml:space="preserve">be exempt information pursuant to </w:t>
      </w:r>
      <w:proofErr w:type="gramStart"/>
      <w:r w:rsidRPr="00A00EF9">
        <w:t>s.43(</w:t>
      </w:r>
      <w:proofErr w:type="gramEnd"/>
      <w:r w:rsidRPr="00A00EF9">
        <w:t xml:space="preserve">2) FOIA. </w:t>
      </w:r>
    </w:p>
    <w:p w:rsidR="00187DF3" w:rsidRPr="00A00EF9" w:rsidRDefault="00187DF3" w:rsidP="00187DF3">
      <w:pPr>
        <w:pStyle w:val="a8"/>
        <w:spacing w:after="200" w:line="360" w:lineRule="auto"/>
        <w:jc w:val="both"/>
      </w:pPr>
      <w:r w:rsidRPr="00A00EF9">
        <w:t xml:space="preserve">Although the trustees of the charitable trust owning the land are deeply concerned about the compulsory purchase, they decided not to institute proceedings for judicial review. Consequently, the Alliance decided to apply for a judicial review of the compulsory purchase. The Alliance also decided to appeal against the decisions by the Department of the Transport not to provide it with the requested information under FOIA. </w:t>
      </w:r>
      <w:proofErr w:type="spellStart"/>
      <w:r w:rsidRPr="00A00EF9">
        <w:t>SuperBus</w:t>
      </w:r>
      <w:proofErr w:type="spellEnd"/>
      <w:r w:rsidRPr="00A00EF9">
        <w:t xml:space="preserve"> PLC, a bus company that operates routes from London to Manchester, heard about the Alliance’s plan to start a judicial review and offered to </w:t>
      </w:r>
      <w:proofErr w:type="spellStart"/>
      <w:r w:rsidRPr="00A00EF9">
        <w:t>subsidise</w:t>
      </w:r>
      <w:proofErr w:type="spellEnd"/>
      <w:r w:rsidRPr="00A00EF9">
        <w:t xml:space="preserve"> half of the litigation costs. Although the Alliance was confident of being able to finance the litigation by using its savings and by </w:t>
      </w:r>
      <w:r w:rsidRPr="00A00EF9">
        <w:lastRenderedPageBreak/>
        <w:t xml:space="preserve">getting donations, it decided to accept </w:t>
      </w:r>
      <w:proofErr w:type="spellStart"/>
      <w:r w:rsidRPr="00A00EF9">
        <w:t>SuperBus</w:t>
      </w:r>
      <w:proofErr w:type="spellEnd"/>
      <w:r w:rsidRPr="00A00EF9">
        <w:t xml:space="preserve"> PLC’s offer as it reasoned that it could keep its savings for other purposes.  </w:t>
      </w:r>
    </w:p>
    <w:p w:rsidR="00187DF3" w:rsidRPr="00A00EF9" w:rsidRDefault="00187DF3" w:rsidP="00187DF3">
      <w:pPr>
        <w:pStyle w:val="a8"/>
        <w:spacing w:after="200" w:line="360" w:lineRule="auto"/>
        <w:jc w:val="both"/>
      </w:pPr>
      <w:r w:rsidRPr="00A00EF9">
        <w:t xml:space="preserve">The Alliance submits that (1) the Department of Transport </w:t>
      </w:r>
      <w:r>
        <w:t xml:space="preserve">has </w:t>
      </w:r>
      <w:r w:rsidRPr="00A00EF9">
        <w:t xml:space="preserve">to release the meeting minutes pursuant to s.1(1) FOIA because the information was not exempt pursuant to ss.36(2)(b)(ii), 36(2)(c) and 43(2) FOIA, (2) the Alliance, as a public interest body, </w:t>
      </w:r>
      <w:r>
        <w:t xml:space="preserve">has </w:t>
      </w:r>
      <w:r w:rsidRPr="00A00EF9">
        <w:t xml:space="preserve">the standing to bring </w:t>
      </w:r>
      <w:r>
        <w:t xml:space="preserve">a claim for </w:t>
      </w:r>
      <w:r w:rsidRPr="00A00EF9">
        <w:t xml:space="preserve">judicial review and (3) the Alliance’s decision to accept the litigation funding by </w:t>
      </w:r>
      <w:proofErr w:type="spellStart"/>
      <w:r w:rsidRPr="00A00EF9">
        <w:t>SuperBus</w:t>
      </w:r>
      <w:proofErr w:type="spellEnd"/>
      <w:r w:rsidRPr="00A00EF9">
        <w:t xml:space="preserve"> PLC does not </w:t>
      </w:r>
      <w:r>
        <w:t xml:space="preserve">affect its otherwise valid </w:t>
      </w:r>
      <w:r w:rsidRPr="00A00EF9">
        <w:t xml:space="preserve">standing. </w:t>
      </w:r>
    </w:p>
    <w:p w:rsidR="00187DF3" w:rsidRPr="00A00EF9" w:rsidRDefault="00187DF3" w:rsidP="00187DF3">
      <w:pPr>
        <w:pStyle w:val="a8"/>
        <w:spacing w:after="200" w:line="360" w:lineRule="auto"/>
        <w:jc w:val="both"/>
      </w:pPr>
      <w:r w:rsidRPr="00A00EF9">
        <w:t xml:space="preserve">In relation to the substantive grounds for judicial review, the Alliance submits that the Secretary of State acted illegally because the compulsory purchase was outside the scope of s.27 Transport Act 2013. In </w:t>
      </w:r>
      <w:r w:rsidRPr="00A00EF9">
        <w:rPr>
          <w:i/>
        </w:rPr>
        <w:t>R v Secretary of State for Foreign and Commonwealth Affairs, ex parte World Development Movement Ltd</w:t>
      </w:r>
      <w:r w:rsidRPr="00A00EF9">
        <w:t>, the Overseas Development and Co-operation Act 1980 stated that the Secretary of State had the power to provide assistance to other countries for ‘the purpose of promoting the development or maintaining the economy of a country or territory outside the United Kingdom’. The Court of Appeal held that the power to provide assistance was limited to providing assistance that was economically sound and that the Secretary of State had acted unlawfully because the assistance provided was not economically sound.</w:t>
      </w:r>
      <w:r w:rsidRPr="00A00EF9">
        <w:rPr>
          <w:rStyle w:val="a7"/>
          <w:rFonts w:asciiTheme="minorHAnsi" w:hAnsiTheme="minorHAnsi" w:cstheme="minorHAnsi"/>
        </w:rPr>
        <w:footnoteReference w:id="1"/>
      </w:r>
      <w:r w:rsidRPr="00A00EF9">
        <w:t xml:space="preserve"> Similarly, </w:t>
      </w:r>
      <w:proofErr w:type="gramStart"/>
      <w:r w:rsidRPr="00A00EF9">
        <w:t>s.27</w:t>
      </w:r>
      <w:r>
        <w:t>(</w:t>
      </w:r>
      <w:proofErr w:type="gramEnd"/>
      <w:r>
        <w:t>2) of the</w:t>
      </w:r>
      <w:r w:rsidRPr="00A00EF9">
        <w:t xml:space="preserve"> Transport Act 2013 requires the Secretary of State to make the compulsory purchase </w:t>
      </w:r>
      <w:r>
        <w:t>with ‘</w:t>
      </w:r>
      <w:r w:rsidRPr="00A00EF9">
        <w:rPr>
          <w:rFonts w:eastAsia="Cambria"/>
          <w:color w:val="000000"/>
          <w:u w:color="000000"/>
        </w:rPr>
        <w:t>due regard to—(a)</w:t>
      </w:r>
      <w:r w:rsidRPr="00A00EF9">
        <w:t xml:space="preserve"> </w:t>
      </w:r>
      <w:r w:rsidRPr="00A00EF9">
        <w:rPr>
          <w:rFonts w:eastAsia="Cambria"/>
          <w:color w:val="000000"/>
          <w:u w:color="000000"/>
        </w:rPr>
        <w:t xml:space="preserve">the </w:t>
      </w:r>
      <w:r w:rsidRPr="00A00EF9">
        <w:t>need to protect the environment</w:t>
      </w:r>
      <w:r w:rsidRPr="00A00EF9">
        <w:rPr>
          <w:rFonts w:eastAsia="Cambria"/>
          <w:color w:val="000000"/>
          <w:u w:color="000000"/>
        </w:rPr>
        <w:t>, and</w:t>
      </w:r>
      <w:r w:rsidRPr="00A00EF9">
        <w:t xml:space="preserve"> </w:t>
      </w:r>
      <w:r w:rsidRPr="00A00EF9">
        <w:rPr>
          <w:rFonts w:eastAsia="Cambria"/>
          <w:color w:val="000000"/>
          <w:u w:color="000000"/>
        </w:rPr>
        <w:t>(b)</w:t>
      </w:r>
      <w:r>
        <w:t xml:space="preserve"> the need to preserve</w:t>
      </w:r>
      <w:r w:rsidRPr="00A00EF9">
        <w:t xml:space="preserve"> biodiversity.</w:t>
      </w:r>
      <w:r>
        <w:t xml:space="preserve">’ </w:t>
      </w:r>
      <w:r w:rsidRPr="00A00EF9">
        <w:t xml:space="preserve">Therefore, the compulsory purchases can only be </w:t>
      </w:r>
      <w:r w:rsidRPr="00690D0D">
        <w:t xml:space="preserve">made if the Secretary of State </w:t>
      </w:r>
      <w:r>
        <w:t>had due regard to those factors</w:t>
      </w:r>
      <w:r w:rsidRPr="00A00EF9">
        <w:t xml:space="preserve">. As up to </w:t>
      </w:r>
      <w:r>
        <w:t xml:space="preserve">two </w:t>
      </w:r>
      <w:r w:rsidRPr="00A00EF9">
        <w:t xml:space="preserve">amphibian species </w:t>
      </w:r>
      <w:r>
        <w:t xml:space="preserve">are likely to become </w:t>
      </w:r>
      <w:r w:rsidRPr="00A00EF9">
        <w:t xml:space="preserve">extinct as a consequence of the compulsory purchase, the </w:t>
      </w:r>
      <w:r>
        <w:t xml:space="preserve">applicant submits that the </w:t>
      </w:r>
      <w:r w:rsidRPr="00A00EF9">
        <w:t xml:space="preserve">Secretary of State did not fulfill this aspect of </w:t>
      </w:r>
      <w:r>
        <w:t xml:space="preserve">its </w:t>
      </w:r>
      <w:r w:rsidRPr="00A00EF9">
        <w:t xml:space="preserve">statutory duty. Accordingly, the Secretary of State did not have the power to make the compulsory purchase. In the alternative, even if the compulsory purchase was within the scope of the </w:t>
      </w:r>
      <w:r>
        <w:t>Secretary of State’s powers under the Transport Act 2013</w:t>
      </w:r>
      <w:r w:rsidRPr="00A00EF9">
        <w:t xml:space="preserve">, </w:t>
      </w:r>
      <w:r>
        <w:t xml:space="preserve">the applicant submits that </w:t>
      </w:r>
      <w:r w:rsidRPr="00A00EF9">
        <w:t xml:space="preserve">the exercise of discretion to make the compulsory purchase was unlawful because it was </w:t>
      </w:r>
      <w:proofErr w:type="spellStart"/>
      <w:r w:rsidRPr="00A00EF9">
        <w:rPr>
          <w:i/>
        </w:rPr>
        <w:t>Wednesbury</w:t>
      </w:r>
      <w:proofErr w:type="spellEnd"/>
      <w:r w:rsidRPr="00A00EF9">
        <w:rPr>
          <w:i/>
        </w:rPr>
        <w:t xml:space="preserve"> </w:t>
      </w:r>
      <w:r w:rsidRPr="00A00EF9">
        <w:t>unreasonable. In other words, the adverse impact on biodiversity and the environment demonstrates that the decision to make the compulsory purchase was so unreasonable that no reasonable Secretary of State would have done the same.</w:t>
      </w:r>
      <w:r w:rsidRPr="00A00EF9">
        <w:rPr>
          <w:rStyle w:val="a7"/>
          <w:rFonts w:asciiTheme="minorHAnsi" w:hAnsiTheme="minorHAnsi" w:cstheme="minorHAnsi"/>
        </w:rPr>
        <w:footnoteReference w:id="2"/>
      </w:r>
      <w:r w:rsidRPr="00A00EF9">
        <w:t xml:space="preserve"> As a result, the decision to make the compulsory purchase should be set aside. However, it is not </w:t>
      </w:r>
      <w:r>
        <w:t xml:space="preserve">necessary </w:t>
      </w:r>
      <w:r w:rsidRPr="00A00EF9">
        <w:t xml:space="preserve">to address these </w:t>
      </w:r>
      <w:r w:rsidRPr="00A00EF9">
        <w:lastRenderedPageBreak/>
        <w:t xml:space="preserve">substantive grounds </w:t>
      </w:r>
      <w:r>
        <w:t xml:space="preserve">of judicial review </w:t>
      </w:r>
      <w:r w:rsidRPr="00A00EF9">
        <w:t xml:space="preserve">for the purpose of the </w:t>
      </w:r>
      <w:r>
        <w:t xml:space="preserve">present </w:t>
      </w:r>
      <w:r w:rsidRPr="00A00EF9">
        <w:t>hearing</w:t>
      </w:r>
      <w:r>
        <w:t xml:space="preserve"> –which has as its object the determination of standing and the exempt status of requested information under the FOIA.</w:t>
      </w:r>
    </w:p>
    <w:p w:rsidR="00187DF3" w:rsidRPr="00A00EF9" w:rsidRDefault="00187DF3" w:rsidP="00187DF3">
      <w:pPr>
        <w:pStyle w:val="a8"/>
        <w:spacing w:after="200" w:line="360" w:lineRule="auto"/>
        <w:jc w:val="both"/>
      </w:pPr>
      <w:proofErr w:type="gramStart"/>
      <w:r w:rsidRPr="00A00EF9">
        <w:t>Counsel are</w:t>
      </w:r>
      <w:proofErr w:type="gramEnd"/>
      <w:r w:rsidRPr="00A00EF9">
        <w:t xml:space="preserve"> instructed to act for the Alliance and the Crown respectively. </w:t>
      </w:r>
      <w:proofErr w:type="gramStart"/>
      <w:r w:rsidRPr="00A00EF9">
        <w:t>Counsel are</w:t>
      </w:r>
      <w:proofErr w:type="gramEnd"/>
      <w:r w:rsidRPr="00A00EF9">
        <w:t xml:space="preserve"> expected to address the following points in their submissions:</w:t>
      </w:r>
    </w:p>
    <w:p w:rsidR="00187DF3" w:rsidRPr="00A00EF9" w:rsidRDefault="00187DF3" w:rsidP="00187DF3">
      <w:pPr>
        <w:pStyle w:val="BodyA"/>
        <w:numPr>
          <w:ilvl w:val="0"/>
          <w:numId w:val="4"/>
        </w:numPr>
        <w:spacing w:after="120" w:line="276" w:lineRule="auto"/>
        <w:ind w:left="720" w:hanging="360"/>
        <w:jc w:val="both"/>
        <w:rPr>
          <w:rFonts w:asciiTheme="minorHAnsi" w:hAnsiTheme="minorHAnsi" w:cstheme="minorHAnsi"/>
        </w:rPr>
      </w:pPr>
      <w:r w:rsidRPr="00A00EF9">
        <w:rPr>
          <w:rFonts w:asciiTheme="minorHAnsi" w:hAnsiTheme="minorHAnsi" w:cstheme="minorHAnsi"/>
        </w:rPr>
        <w:t xml:space="preserve">Should the Alliance have standing to contest a decision that might result in the possible extinction of animals when no particular person has been affected? </w:t>
      </w:r>
    </w:p>
    <w:p w:rsidR="00187DF3" w:rsidRPr="00A00EF9" w:rsidRDefault="00187DF3" w:rsidP="00187DF3">
      <w:pPr>
        <w:pStyle w:val="BodyA"/>
        <w:numPr>
          <w:ilvl w:val="0"/>
          <w:numId w:val="4"/>
        </w:numPr>
        <w:spacing w:after="120" w:line="276" w:lineRule="auto"/>
        <w:ind w:left="720" w:hanging="360"/>
        <w:jc w:val="both"/>
        <w:rPr>
          <w:rFonts w:asciiTheme="minorHAnsi" w:hAnsiTheme="minorHAnsi" w:cstheme="minorHAnsi"/>
        </w:rPr>
      </w:pPr>
      <w:r w:rsidRPr="00A00EF9">
        <w:rPr>
          <w:rFonts w:asciiTheme="minorHAnsi" w:hAnsiTheme="minorHAnsi" w:cstheme="minorHAnsi"/>
        </w:rPr>
        <w:t>Does the receipt of funding from a commercial party likely to be affected by the decision indicate a lack of good faith on the part of the applicant? Should the lack of good faith affect otherwise valid standing?</w:t>
      </w:r>
    </w:p>
    <w:p w:rsidR="00187DF3" w:rsidRPr="00A00EF9" w:rsidRDefault="00187DF3" w:rsidP="00187DF3">
      <w:pPr>
        <w:pStyle w:val="BodyA"/>
        <w:numPr>
          <w:ilvl w:val="0"/>
          <w:numId w:val="4"/>
        </w:numPr>
        <w:spacing w:after="120" w:line="276" w:lineRule="auto"/>
        <w:ind w:left="720" w:hanging="360"/>
        <w:jc w:val="both"/>
        <w:rPr>
          <w:rFonts w:asciiTheme="minorHAnsi" w:hAnsiTheme="minorHAnsi" w:cstheme="minorHAnsi"/>
        </w:rPr>
      </w:pPr>
      <w:r w:rsidRPr="00A00EF9">
        <w:rPr>
          <w:rFonts w:asciiTheme="minorHAnsi" w:hAnsiTheme="minorHAnsi" w:cstheme="minorHAnsi"/>
        </w:rPr>
        <w:t xml:space="preserve">Must the Department of Transport release the information based on </w:t>
      </w:r>
      <w:r>
        <w:rPr>
          <w:rFonts w:asciiTheme="minorHAnsi" w:hAnsiTheme="minorHAnsi" w:cstheme="minorHAnsi"/>
        </w:rPr>
        <w:t xml:space="preserve">the </w:t>
      </w:r>
      <w:r w:rsidRPr="00A00EF9">
        <w:rPr>
          <w:rFonts w:asciiTheme="minorHAnsi" w:hAnsiTheme="minorHAnsi" w:cstheme="minorHAnsi"/>
        </w:rPr>
        <w:t xml:space="preserve">FOIA? </w:t>
      </w:r>
    </w:p>
    <w:p w:rsidR="007867B3" w:rsidRPr="00BE2713" w:rsidRDefault="00FC550C" w:rsidP="007867B3">
      <w:pPr>
        <w:spacing w:line="360" w:lineRule="auto"/>
        <w:jc w:val="both"/>
        <w:rPr>
          <w:b/>
          <w:smallCaps/>
        </w:rPr>
      </w:pPr>
      <w:r>
        <w:rPr>
          <w:b/>
          <w:smallCaps/>
        </w:rPr>
        <w:br w:type="page"/>
      </w:r>
      <w:r w:rsidR="007867B3" w:rsidRPr="00BE2713">
        <w:rPr>
          <w:b/>
          <w:smallCaps/>
        </w:rPr>
        <w:lastRenderedPageBreak/>
        <w:t xml:space="preserve">In the High Court of Justice </w:t>
      </w:r>
    </w:p>
    <w:p w:rsidR="007867B3" w:rsidRPr="00BE2713" w:rsidRDefault="007867B3" w:rsidP="007867B3">
      <w:pPr>
        <w:spacing w:line="360" w:lineRule="auto"/>
        <w:jc w:val="both"/>
        <w:rPr>
          <w:b/>
          <w:smallCaps/>
        </w:rPr>
      </w:pPr>
      <w:r w:rsidRPr="00BE2713">
        <w:rPr>
          <w:b/>
          <w:smallCaps/>
        </w:rPr>
        <w:t xml:space="preserve">Administrative Court </w:t>
      </w:r>
    </w:p>
    <w:p w:rsidR="007867B3" w:rsidRPr="00BE2713" w:rsidRDefault="007867B3" w:rsidP="007867B3">
      <w:pPr>
        <w:spacing w:line="360" w:lineRule="auto"/>
        <w:jc w:val="both"/>
        <w:rPr>
          <w:b/>
          <w:smallCaps/>
        </w:rPr>
      </w:pPr>
      <w:r w:rsidRPr="00BE2713">
        <w:rPr>
          <w:b/>
          <w:smallCaps/>
        </w:rPr>
        <w:t xml:space="preserve">Lord </w:t>
      </w:r>
      <w:proofErr w:type="spellStart"/>
      <w:r>
        <w:rPr>
          <w:b/>
          <w:smallCaps/>
        </w:rPr>
        <w:t>Carnwath</w:t>
      </w:r>
      <w:proofErr w:type="spellEnd"/>
    </w:p>
    <w:p w:rsidR="007867B3" w:rsidRPr="00BE2713" w:rsidRDefault="007867B3" w:rsidP="007867B3">
      <w:pPr>
        <w:spacing w:line="360" w:lineRule="auto"/>
        <w:jc w:val="both"/>
        <w:rPr>
          <w:b/>
          <w:smallCaps/>
        </w:rPr>
      </w:pPr>
      <w:r w:rsidRPr="00BE2713">
        <w:rPr>
          <w:b/>
          <w:smallCaps/>
        </w:rPr>
        <w:t>CO/7326/2844; CO/732/2012</w:t>
      </w:r>
    </w:p>
    <w:p w:rsidR="007867B3" w:rsidRPr="00BE2713" w:rsidRDefault="007867B3" w:rsidP="007867B3">
      <w:pPr>
        <w:spacing w:line="360" w:lineRule="auto"/>
        <w:jc w:val="both"/>
        <w:rPr>
          <w:b/>
          <w:smallCaps/>
        </w:rPr>
      </w:pPr>
    </w:p>
    <w:p w:rsidR="007867B3" w:rsidRPr="00BE2713" w:rsidRDefault="007867B3" w:rsidP="007867B3">
      <w:pPr>
        <w:spacing w:line="360" w:lineRule="auto"/>
        <w:jc w:val="center"/>
        <w:rPr>
          <w:b/>
        </w:rPr>
      </w:pPr>
      <w:r w:rsidRPr="00BE2713">
        <w:rPr>
          <w:b/>
        </w:rPr>
        <w:t xml:space="preserve">R (on the application of The Environmental Alliance of </w:t>
      </w:r>
      <w:r>
        <w:rPr>
          <w:b/>
        </w:rPr>
        <w:t>Buxton</w:t>
      </w:r>
      <w:r w:rsidRPr="00BE2713">
        <w:rPr>
          <w:b/>
        </w:rPr>
        <w:t>)</w:t>
      </w:r>
    </w:p>
    <w:p w:rsidR="007867B3" w:rsidRDefault="007867B3" w:rsidP="007867B3">
      <w:pPr>
        <w:spacing w:line="360" w:lineRule="auto"/>
        <w:jc w:val="right"/>
        <w:rPr>
          <w:b/>
          <w:bCs/>
          <w:smallCaps/>
        </w:rPr>
      </w:pPr>
      <w:r w:rsidRPr="000B027A">
        <w:rPr>
          <w:b/>
          <w:bCs/>
          <w:smallCaps/>
        </w:rPr>
        <w:t>Applicant</w:t>
      </w:r>
    </w:p>
    <w:p w:rsidR="007867B3" w:rsidRPr="00BE2713" w:rsidRDefault="007867B3" w:rsidP="007867B3">
      <w:pPr>
        <w:spacing w:line="360" w:lineRule="auto"/>
        <w:jc w:val="center"/>
        <w:rPr>
          <w:b/>
        </w:rPr>
      </w:pPr>
      <w:proofErr w:type="gramStart"/>
      <w:r w:rsidRPr="00BE2713">
        <w:rPr>
          <w:b/>
        </w:rPr>
        <w:t>and</w:t>
      </w:r>
      <w:proofErr w:type="gramEnd"/>
    </w:p>
    <w:p w:rsidR="007867B3" w:rsidRPr="00BE2713" w:rsidRDefault="007867B3" w:rsidP="007867B3">
      <w:pPr>
        <w:spacing w:line="360" w:lineRule="auto"/>
        <w:jc w:val="center"/>
        <w:rPr>
          <w:b/>
        </w:rPr>
      </w:pPr>
    </w:p>
    <w:p w:rsidR="007867B3" w:rsidRPr="00BE2713" w:rsidRDefault="007867B3" w:rsidP="007867B3">
      <w:pPr>
        <w:spacing w:line="360" w:lineRule="auto"/>
        <w:jc w:val="center"/>
        <w:rPr>
          <w:b/>
        </w:rPr>
      </w:pPr>
      <w:r>
        <w:rPr>
          <w:b/>
        </w:rPr>
        <w:t xml:space="preserve">The </w:t>
      </w:r>
      <w:r w:rsidRPr="00BE2713">
        <w:rPr>
          <w:b/>
        </w:rPr>
        <w:t>Secretary of State for Transport</w:t>
      </w:r>
    </w:p>
    <w:p w:rsidR="007867B3" w:rsidRDefault="007867B3" w:rsidP="007867B3">
      <w:pPr>
        <w:spacing w:line="360" w:lineRule="auto"/>
        <w:jc w:val="right"/>
        <w:rPr>
          <w:b/>
          <w:bCs/>
          <w:smallCaps/>
        </w:rPr>
      </w:pPr>
      <w:r w:rsidRPr="000B027A">
        <w:rPr>
          <w:b/>
          <w:bCs/>
          <w:smallCaps/>
        </w:rPr>
        <w:t>Respondent</w:t>
      </w:r>
    </w:p>
    <w:p w:rsidR="007867B3" w:rsidRDefault="007867B3" w:rsidP="007867B3">
      <w:pPr>
        <w:spacing w:line="360" w:lineRule="auto"/>
        <w:jc w:val="center"/>
        <w:rPr>
          <w:smallCaps/>
        </w:rPr>
      </w:pPr>
      <w:r>
        <w:rPr>
          <w:smallCaps/>
        </w:rPr>
        <w:t>_____________________________________</w:t>
      </w:r>
    </w:p>
    <w:p w:rsidR="007867B3" w:rsidRPr="00BE2713" w:rsidRDefault="007867B3" w:rsidP="007867B3">
      <w:pPr>
        <w:spacing w:line="360" w:lineRule="auto"/>
        <w:jc w:val="center"/>
        <w:rPr>
          <w:b/>
          <w:smallCaps/>
        </w:rPr>
      </w:pPr>
      <w:r>
        <w:rPr>
          <w:b/>
          <w:smallCaps/>
        </w:rPr>
        <w:t>Skeleton</w:t>
      </w:r>
      <w:r w:rsidRPr="00BE2713">
        <w:rPr>
          <w:b/>
          <w:smallCaps/>
        </w:rPr>
        <w:t xml:space="preserve"> Argument </w:t>
      </w:r>
      <w:r>
        <w:rPr>
          <w:b/>
          <w:smallCaps/>
        </w:rPr>
        <w:t>on behalf of the Applicant</w:t>
      </w:r>
    </w:p>
    <w:p w:rsidR="007867B3" w:rsidRDefault="007867B3" w:rsidP="007867B3">
      <w:pPr>
        <w:spacing w:line="360" w:lineRule="auto"/>
        <w:jc w:val="center"/>
        <w:rPr>
          <w:smallCaps/>
        </w:rPr>
      </w:pPr>
      <w:r>
        <w:rPr>
          <w:smallCaps/>
        </w:rPr>
        <w:t>_____________________________________</w:t>
      </w:r>
    </w:p>
    <w:p w:rsidR="007867B3" w:rsidRDefault="007867B3" w:rsidP="007867B3">
      <w:pPr>
        <w:pStyle w:val="1"/>
      </w:pPr>
    </w:p>
    <w:p w:rsidR="007867B3" w:rsidRPr="00EB6BE4" w:rsidRDefault="007867B3" w:rsidP="007867B3">
      <w:pPr>
        <w:pStyle w:val="1"/>
      </w:pPr>
      <w:r w:rsidRPr="00EF6769">
        <w:t>A.</w:t>
      </w:r>
      <w:r>
        <w:t xml:space="preserve"> </w:t>
      </w:r>
      <w:r w:rsidRPr="00EB6BE4">
        <w:t>Introduction</w:t>
      </w:r>
    </w:p>
    <w:p w:rsidR="007867B3" w:rsidRPr="009E731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This document contains submissions made by counsel on behalf of the applicant, the Environmental Alliance for Buxton</w:t>
      </w:r>
      <w:r>
        <w:rPr>
          <w:rFonts w:cstheme="minorHAnsi"/>
        </w:rPr>
        <w:t xml:space="preserve"> (the ‘Alliance’)</w:t>
      </w:r>
      <w:r w:rsidRPr="00EB6BE4">
        <w:rPr>
          <w:rFonts w:cstheme="minorHAnsi"/>
        </w:rPr>
        <w:t xml:space="preserve">, in its </w:t>
      </w:r>
      <w:r>
        <w:rPr>
          <w:rFonts w:cstheme="minorHAnsi"/>
        </w:rPr>
        <w:t xml:space="preserve">claim </w:t>
      </w:r>
      <w:r w:rsidRPr="00EB6BE4">
        <w:rPr>
          <w:rFonts w:cstheme="minorHAnsi"/>
        </w:rPr>
        <w:t>for judicial review of the decision of the respondent, the Secretary of State for Transport, to use his powers under s. 27</w:t>
      </w:r>
      <w:r>
        <w:rPr>
          <w:rFonts w:cstheme="minorHAnsi"/>
        </w:rPr>
        <w:t>(1)</w:t>
      </w:r>
      <w:r w:rsidRPr="00EB6BE4">
        <w:rPr>
          <w:rFonts w:cstheme="minorHAnsi"/>
        </w:rPr>
        <w:t xml:space="preserve"> of the Transport Act 2013 to acquire land (the ‘disputed decision’) without due regard to </w:t>
      </w:r>
      <w:proofErr w:type="gramStart"/>
      <w:r>
        <w:rPr>
          <w:rFonts w:cstheme="minorHAnsi"/>
        </w:rPr>
        <w:t>s.27(</w:t>
      </w:r>
      <w:proofErr w:type="gramEnd"/>
      <w:r>
        <w:rPr>
          <w:rFonts w:cstheme="minorHAnsi"/>
        </w:rPr>
        <w:t>2) of that act</w:t>
      </w:r>
      <w:r w:rsidRPr="00EB6BE4">
        <w:rPr>
          <w:rFonts w:cstheme="minorHAnsi"/>
        </w:rPr>
        <w:t>.</w:t>
      </w:r>
      <w:r>
        <w:rPr>
          <w:rFonts w:cstheme="minorHAnsi"/>
        </w:rPr>
        <w:t xml:space="preserve"> </w:t>
      </w:r>
      <w:r w:rsidRPr="00A00EF9">
        <w:t xml:space="preserve">In </w:t>
      </w:r>
      <w:r>
        <w:t>particular</w:t>
      </w:r>
      <w:r w:rsidRPr="00A00EF9">
        <w:t>, the Alliance submits that the Secreta</w:t>
      </w:r>
      <w:r>
        <w:t>ry of State has</w:t>
      </w:r>
      <w:r w:rsidRPr="00A00EF9">
        <w:t xml:space="preserve"> acted illegally because the compulsory purchase was outside the scope of s.27</w:t>
      </w:r>
      <w:r>
        <w:t>(1) when read in conjunction with s.27(2), as it must be due to the mandatory language in s.27(2)</w:t>
      </w:r>
      <w:r w:rsidRPr="00A00EF9">
        <w:t>.</w:t>
      </w:r>
    </w:p>
    <w:p w:rsidR="007867B3" w:rsidRPr="009E7314" w:rsidRDefault="007867B3" w:rsidP="007867B3">
      <w:pPr>
        <w:pStyle w:val="a3"/>
        <w:numPr>
          <w:ilvl w:val="0"/>
          <w:numId w:val="20"/>
        </w:numPr>
        <w:spacing w:after="200" w:line="360" w:lineRule="auto"/>
        <w:ind w:left="0" w:firstLine="0"/>
        <w:contextualSpacing w:val="0"/>
        <w:jc w:val="both"/>
        <w:rPr>
          <w:rFonts w:cstheme="minorHAnsi"/>
        </w:rPr>
      </w:pPr>
      <w:r>
        <w:t>The legislation surrounding the disputed decision in that regard resembles the</w:t>
      </w:r>
      <w:r w:rsidRPr="00A00EF9">
        <w:t xml:space="preserve"> Overseas Development and Co-operation Act 1980</w:t>
      </w:r>
      <w:r>
        <w:t>, at issue i</w:t>
      </w:r>
      <w:r w:rsidRPr="00A00EF9">
        <w:t xml:space="preserve">n </w:t>
      </w:r>
      <w:r w:rsidRPr="00A00EF9">
        <w:rPr>
          <w:i/>
        </w:rPr>
        <w:t xml:space="preserve">R v Secretary of State for </w:t>
      </w:r>
      <w:r w:rsidRPr="00A00EF9">
        <w:rPr>
          <w:i/>
        </w:rPr>
        <w:lastRenderedPageBreak/>
        <w:t>Foreign and Commonwealth Affairs, ex parte World Development Movement Ltd</w:t>
      </w:r>
      <w:r>
        <w:t>, which</w:t>
      </w:r>
      <w:r w:rsidRPr="00A00EF9">
        <w:t xml:space="preserve"> stated that the Secretary of State had the power to provide assistance to other countries for ‘the purpose of promoting the development or maintaining the economy of a country or territory outside the Un</w:t>
      </w:r>
      <w:r>
        <w:t>ited Kingdom’. In that case, t</w:t>
      </w:r>
      <w:r w:rsidRPr="00A00EF9">
        <w:t xml:space="preserve">he </w:t>
      </w:r>
      <w:r>
        <w:t>Divisional Court</w:t>
      </w:r>
      <w:r w:rsidRPr="00A00EF9">
        <w:t xml:space="preserve"> held that the power to provide assistance was limited to providing assistance that was economically sound and that the Secretary of State had acted unlawfully because the assistance provided was not economically sound.</w:t>
      </w:r>
      <w:r w:rsidRPr="00A00EF9">
        <w:rPr>
          <w:rStyle w:val="a7"/>
          <w:rFonts w:cstheme="minorHAnsi"/>
        </w:rPr>
        <w:footnoteReference w:id="3"/>
      </w:r>
      <w:r w:rsidRPr="00A00EF9">
        <w:t xml:space="preserve"> Similarly, </w:t>
      </w:r>
      <w:proofErr w:type="gramStart"/>
      <w:r w:rsidRPr="00A00EF9">
        <w:t>s.27</w:t>
      </w:r>
      <w:r>
        <w:t>(</w:t>
      </w:r>
      <w:proofErr w:type="gramEnd"/>
      <w:r>
        <w:t>2) of the</w:t>
      </w:r>
      <w:r w:rsidRPr="00A00EF9">
        <w:t xml:space="preserve"> Transport Act 2013 requires the Secretary of State to make the compulsory purchase </w:t>
      </w:r>
      <w:r>
        <w:t>with ‘</w:t>
      </w:r>
      <w:r w:rsidRPr="00A00EF9">
        <w:rPr>
          <w:color w:val="000000"/>
          <w:u w:color="000000"/>
        </w:rPr>
        <w:t>due regard to—(a)</w:t>
      </w:r>
      <w:r w:rsidRPr="00A00EF9">
        <w:t xml:space="preserve"> </w:t>
      </w:r>
      <w:r w:rsidRPr="00A00EF9">
        <w:rPr>
          <w:color w:val="000000"/>
          <w:u w:color="000000"/>
        </w:rPr>
        <w:t xml:space="preserve">the </w:t>
      </w:r>
      <w:r w:rsidRPr="00A00EF9">
        <w:t>need to protect the environment</w:t>
      </w:r>
      <w:r w:rsidRPr="00A00EF9">
        <w:rPr>
          <w:color w:val="000000"/>
          <w:u w:color="000000"/>
        </w:rPr>
        <w:t>, and</w:t>
      </w:r>
      <w:r w:rsidRPr="00A00EF9">
        <w:t xml:space="preserve"> </w:t>
      </w:r>
      <w:r w:rsidRPr="00A00EF9">
        <w:rPr>
          <w:color w:val="000000"/>
          <w:u w:color="000000"/>
        </w:rPr>
        <w:t>(b)</w:t>
      </w:r>
      <w:r>
        <w:t xml:space="preserve"> the need to preserve</w:t>
      </w:r>
      <w:r w:rsidRPr="00A00EF9">
        <w:t xml:space="preserve"> biodiversity.</w:t>
      </w:r>
      <w:r>
        <w:t xml:space="preserve">’ </w:t>
      </w:r>
      <w:r w:rsidRPr="00A00EF9">
        <w:t xml:space="preserve">Therefore, </w:t>
      </w:r>
      <w:r>
        <w:t>under s.27,</w:t>
      </w:r>
      <w:r w:rsidRPr="00A00EF9">
        <w:t xml:space="preserve"> compulsory purchases</w:t>
      </w:r>
      <w:r>
        <w:t xml:space="preserve"> are unlawful if such regard was not had</w:t>
      </w:r>
      <w:r w:rsidRPr="00A00EF9">
        <w:t xml:space="preserve">. As up to </w:t>
      </w:r>
      <w:r>
        <w:t>two</w:t>
      </w:r>
      <w:r w:rsidRPr="00A00EF9">
        <w:t xml:space="preserve"> amphibian species might be extinct as a consequence of the compulsory purchase, the Sec</w:t>
      </w:r>
      <w:r>
        <w:t xml:space="preserve">retary of State did not fulfil </w:t>
      </w:r>
      <w:r w:rsidRPr="00A00EF9">
        <w:t>his statutory duty</w:t>
      </w:r>
      <w:r>
        <w:t xml:space="preserve"> under s27(2), and, a</w:t>
      </w:r>
      <w:r w:rsidRPr="00A00EF9">
        <w:t xml:space="preserve">ccordingly, the Secretary of State did not have the power to make the compulsory purchase. In the alternative, even if the compulsory purchase was within the scope of the </w:t>
      </w:r>
      <w:r>
        <w:t>Secretary of State's powers</w:t>
      </w:r>
      <w:r w:rsidRPr="00A00EF9">
        <w:t xml:space="preserve">, it is submitted that </w:t>
      </w:r>
      <w:r>
        <w:t xml:space="preserve">his </w:t>
      </w:r>
      <w:r w:rsidRPr="00A00EF9">
        <w:t xml:space="preserve">exercise of discretion to make the compulsory purchase was unlawful because it was </w:t>
      </w:r>
      <w:proofErr w:type="spellStart"/>
      <w:r w:rsidRPr="00A00EF9">
        <w:rPr>
          <w:i/>
        </w:rPr>
        <w:t>Wednesbury</w:t>
      </w:r>
      <w:proofErr w:type="spellEnd"/>
      <w:r w:rsidRPr="00A00EF9">
        <w:rPr>
          <w:i/>
        </w:rPr>
        <w:t xml:space="preserve"> </w:t>
      </w:r>
      <w:r w:rsidRPr="00A00EF9">
        <w:t xml:space="preserve">unreasonable. In other words, the adverse impact on biodiversity and the environment demonstrates that the decision to make the compulsory purchase was so unreasonable that no reasonable Secretary of State would have </w:t>
      </w:r>
      <w:r>
        <w:t>so decided</w:t>
      </w:r>
      <w:r w:rsidRPr="00A00EF9">
        <w:t>.</w:t>
      </w:r>
      <w:r w:rsidRPr="00A00EF9">
        <w:rPr>
          <w:rStyle w:val="a7"/>
          <w:rFonts w:cstheme="minorHAnsi"/>
        </w:rPr>
        <w:footnoteReference w:id="4"/>
      </w:r>
      <w:r w:rsidRPr="00A00EF9">
        <w:t xml:space="preserve"> </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Pr>
          <w:rFonts w:cstheme="minorHAnsi"/>
        </w:rPr>
        <w:t>As regards standing, i</w:t>
      </w:r>
      <w:r w:rsidRPr="00EB6BE4">
        <w:rPr>
          <w:rFonts w:cstheme="minorHAnsi"/>
        </w:rPr>
        <w:t xml:space="preserve">t is submitted, in particular, that the applicant has standing to challenge the disputed decision for noncompliance with </w:t>
      </w:r>
      <w:r>
        <w:rPr>
          <w:rFonts w:cstheme="minorHAnsi"/>
        </w:rPr>
        <w:t>the statutory duties set out in s.27(2)</w:t>
      </w:r>
      <w:r w:rsidRPr="00EB6BE4">
        <w:rPr>
          <w:rFonts w:cstheme="minorHAnsi"/>
        </w:rPr>
        <w:t xml:space="preserve">. In that context, it is further submitted that the applicant’s decision to accept </w:t>
      </w:r>
      <w:r>
        <w:rPr>
          <w:rFonts w:cstheme="minorHAnsi"/>
        </w:rPr>
        <w:t xml:space="preserve">some </w:t>
      </w:r>
      <w:r w:rsidRPr="00EB6BE4">
        <w:rPr>
          <w:rFonts w:cstheme="minorHAnsi"/>
        </w:rPr>
        <w:t xml:space="preserve">litigation funding </w:t>
      </w:r>
      <w:r>
        <w:rPr>
          <w:rFonts w:cstheme="minorHAnsi"/>
        </w:rPr>
        <w:t xml:space="preserve">from </w:t>
      </w:r>
      <w:proofErr w:type="spellStart"/>
      <w:r w:rsidRPr="00EB6BE4">
        <w:rPr>
          <w:rFonts w:cstheme="minorHAnsi"/>
        </w:rPr>
        <w:t>SuperBus</w:t>
      </w:r>
      <w:proofErr w:type="spellEnd"/>
      <w:r w:rsidRPr="00EB6BE4">
        <w:rPr>
          <w:rFonts w:cstheme="minorHAnsi"/>
        </w:rPr>
        <w:t xml:space="preserve"> PLC does not prevent it from having standing to bring </w:t>
      </w:r>
      <w:r>
        <w:rPr>
          <w:rFonts w:cstheme="minorHAnsi"/>
        </w:rPr>
        <w:t xml:space="preserve">a claim for </w:t>
      </w:r>
      <w:r w:rsidRPr="00EB6BE4">
        <w:rPr>
          <w:rFonts w:cstheme="minorHAnsi"/>
        </w:rPr>
        <w:t>judicial review.</w:t>
      </w:r>
    </w:p>
    <w:p w:rsidR="007867B3" w:rsidRPr="00B8034B"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On the courts invitation, the applicant also wishes to make submissions regarding the respondent’s refusal to fulfil the applicant’s request for the minutes and supporting documentation regarding the disputed decision under the Freedom of Information Act 2000</w:t>
      </w:r>
      <w:r>
        <w:rPr>
          <w:rFonts w:cstheme="minorHAnsi"/>
        </w:rPr>
        <w:t xml:space="preserve"> (FOIA)</w:t>
      </w:r>
      <w:r w:rsidRPr="00EB6BE4">
        <w:rPr>
          <w:rFonts w:cstheme="minorHAnsi"/>
        </w:rPr>
        <w:t xml:space="preserve">. In particular, it is submitted that the respondents refusal </w:t>
      </w:r>
      <w:r w:rsidRPr="00EB6BE4">
        <w:rPr>
          <w:rFonts w:cstheme="minorHAnsi"/>
        </w:rPr>
        <w:lastRenderedPageBreak/>
        <w:t xml:space="preserve">to allow that request on the grounds of </w:t>
      </w:r>
      <w:proofErr w:type="gramStart"/>
      <w:r w:rsidRPr="00EB6BE4">
        <w:rPr>
          <w:rFonts w:cstheme="minorHAnsi"/>
        </w:rPr>
        <w:t>ss.36(</w:t>
      </w:r>
      <w:proofErr w:type="gramEnd"/>
      <w:r w:rsidRPr="00EB6BE4">
        <w:rPr>
          <w:rFonts w:cstheme="minorHAnsi"/>
        </w:rPr>
        <w:t xml:space="preserve">2)(b)(ii), 36(2)(c) and 43(2) FOIA is without any basis. </w:t>
      </w:r>
    </w:p>
    <w:p w:rsidR="007867B3" w:rsidRPr="00EB6BE4" w:rsidRDefault="007867B3" w:rsidP="007867B3">
      <w:pPr>
        <w:spacing w:line="360" w:lineRule="auto"/>
        <w:jc w:val="both"/>
        <w:rPr>
          <w:rFonts w:cstheme="minorHAnsi"/>
        </w:rPr>
      </w:pPr>
    </w:p>
    <w:p w:rsidR="007867B3" w:rsidRPr="00EB6BE4" w:rsidRDefault="007867B3" w:rsidP="007867B3">
      <w:pPr>
        <w:pStyle w:val="1"/>
      </w:pPr>
      <w:r>
        <w:t xml:space="preserve">B. </w:t>
      </w:r>
      <w:r w:rsidRPr="00EB6BE4">
        <w:t>Standing</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The protection of the rule of law through judicial review is a constitutional principle of paramount importance. It is through judicial review that the courts are able to fulfil the important task of supervising the proper exercise of executive power. By extending standing to challenge the government’s actions to ordinary citizens acting in the public interest, democratic accountability and the rule of law are strengthened. As Harlow has stated,</w:t>
      </w:r>
      <w:r w:rsidRPr="00EB6BE4">
        <w:rPr>
          <w:rStyle w:val="a7"/>
          <w:rFonts w:cstheme="minorHAnsi"/>
        </w:rPr>
        <w:footnoteReference w:id="5"/>
      </w:r>
      <w:r w:rsidRPr="00EB6BE4">
        <w:rPr>
          <w:rFonts w:cstheme="minorHAnsi"/>
        </w:rPr>
        <w:t xml:space="preserve"> the courts are an important mechanism for public accountability of official actions. </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Pr>
          <w:rFonts w:cstheme="minorHAnsi"/>
        </w:rPr>
        <w:t>Given that</w:t>
      </w:r>
      <w:r w:rsidRPr="00EB6BE4">
        <w:rPr>
          <w:rFonts w:cstheme="minorHAnsi"/>
        </w:rPr>
        <w:t xml:space="preserve"> </w:t>
      </w:r>
      <w:r>
        <w:rPr>
          <w:rFonts w:cstheme="minorHAnsi"/>
        </w:rPr>
        <w:t xml:space="preserve">one of the </w:t>
      </w:r>
      <w:r w:rsidRPr="00EB6BE4">
        <w:rPr>
          <w:rFonts w:cstheme="minorHAnsi"/>
        </w:rPr>
        <w:t>purpose</w:t>
      </w:r>
      <w:r>
        <w:rPr>
          <w:rFonts w:cstheme="minorHAnsi"/>
        </w:rPr>
        <w:t>s</w:t>
      </w:r>
      <w:r w:rsidRPr="00EB6BE4">
        <w:rPr>
          <w:rFonts w:cstheme="minorHAnsi"/>
        </w:rPr>
        <w:t xml:space="preserve"> of judicial review is increased accountability of public officials and upholding the rule of law, actions for judicial review </w:t>
      </w:r>
      <w:r>
        <w:rPr>
          <w:rFonts w:cstheme="minorHAnsi"/>
        </w:rPr>
        <w:t xml:space="preserve">can be </w:t>
      </w:r>
      <w:r w:rsidRPr="00EB6BE4">
        <w:rPr>
          <w:rFonts w:cstheme="minorHAnsi"/>
        </w:rPr>
        <w:t xml:space="preserve">concerned with public rather than private interests. As </w:t>
      </w:r>
      <w:proofErr w:type="spellStart"/>
      <w:r w:rsidRPr="00EB6BE4">
        <w:rPr>
          <w:rFonts w:cstheme="minorHAnsi"/>
        </w:rPr>
        <w:t>Sedley</w:t>
      </w:r>
      <w:proofErr w:type="spellEnd"/>
      <w:r w:rsidRPr="00EB6BE4">
        <w:rPr>
          <w:rFonts w:cstheme="minorHAnsi"/>
        </w:rPr>
        <w:t xml:space="preserve"> LJ so aptly put it in </w:t>
      </w:r>
      <w:proofErr w:type="gramStart"/>
      <w:r w:rsidRPr="00EB6BE4">
        <w:rPr>
          <w:rFonts w:cstheme="minorHAnsi"/>
          <w:i/>
        </w:rPr>
        <w:t>R(</w:t>
      </w:r>
      <w:proofErr w:type="spellStart"/>
      <w:proofErr w:type="gramEnd"/>
      <w:r w:rsidRPr="00EB6BE4">
        <w:rPr>
          <w:rFonts w:cstheme="minorHAnsi"/>
          <w:i/>
        </w:rPr>
        <w:t>Bancoult</w:t>
      </w:r>
      <w:proofErr w:type="spellEnd"/>
      <w:r w:rsidRPr="00EB6BE4">
        <w:rPr>
          <w:rFonts w:cstheme="minorHAnsi"/>
          <w:i/>
        </w:rPr>
        <w:t xml:space="preserve">) v SSFCA </w:t>
      </w:r>
      <w:r w:rsidRPr="00EB6BE4">
        <w:rPr>
          <w:rFonts w:cstheme="minorHAnsi"/>
        </w:rPr>
        <w:t xml:space="preserve">2007 EWCA CIV 498 at [61]: “what modern public law focuses upon are wrongs </w:t>
      </w:r>
      <w:r>
        <w:rPr>
          <w:rFonts w:cstheme="minorHAnsi"/>
        </w:rPr>
        <w:t xml:space="preserve">– </w:t>
      </w:r>
      <w:r w:rsidRPr="00EB6BE4">
        <w:rPr>
          <w:rFonts w:cstheme="minorHAnsi"/>
        </w:rPr>
        <w:t xml:space="preserve">that is to say unlawful acts of public administration. These often, of course, infringe correlative rights but they do not necessarily do </w:t>
      </w:r>
      <w:proofErr w:type="gramStart"/>
      <w:r w:rsidRPr="00EB6BE4">
        <w:rPr>
          <w:rFonts w:cstheme="minorHAnsi"/>
        </w:rPr>
        <w:t>so[</w:t>
      </w:r>
      <w:proofErr w:type="gramEnd"/>
      <w:r w:rsidRPr="00EB6BE4">
        <w:rPr>
          <w:rFonts w:cstheme="minorHAnsi"/>
        </w:rPr>
        <w:t>.]”  This recognition is especially important if the wrong in question infringes a common good</w:t>
      </w:r>
      <w:r>
        <w:rPr>
          <w:rFonts w:cstheme="minorHAnsi"/>
        </w:rPr>
        <w:t xml:space="preserve"> like the environment </w:t>
      </w:r>
      <w:r w:rsidRPr="00EB6BE4">
        <w:rPr>
          <w:rFonts w:cstheme="minorHAnsi"/>
        </w:rPr>
        <w:t xml:space="preserve">rather than </w:t>
      </w:r>
      <w:r>
        <w:rPr>
          <w:rFonts w:cstheme="minorHAnsi"/>
        </w:rPr>
        <w:t xml:space="preserve">purely </w:t>
      </w:r>
      <w:r w:rsidRPr="00EB6BE4">
        <w:rPr>
          <w:rFonts w:cstheme="minorHAnsi"/>
        </w:rPr>
        <w:t xml:space="preserve">private interests. </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It is recognised that every legal system must necessarily </w:t>
      </w:r>
      <w:r>
        <w:rPr>
          <w:rFonts w:cstheme="minorHAnsi"/>
        </w:rPr>
        <w:t xml:space="preserve">achieve a balance </w:t>
      </w:r>
      <w:r w:rsidRPr="00EB6BE4">
        <w:rPr>
          <w:rFonts w:cstheme="minorHAnsi"/>
        </w:rPr>
        <w:t xml:space="preserve">between </w:t>
      </w:r>
      <w:r>
        <w:rPr>
          <w:rFonts w:cstheme="minorHAnsi"/>
        </w:rPr>
        <w:t xml:space="preserve">giving </w:t>
      </w:r>
      <w:r w:rsidRPr="00EB6BE4">
        <w:rPr>
          <w:rFonts w:cstheme="minorHAnsi"/>
        </w:rPr>
        <w:t xml:space="preserve">individuals </w:t>
      </w:r>
      <w:r>
        <w:rPr>
          <w:rFonts w:cstheme="minorHAnsi"/>
        </w:rPr>
        <w:t xml:space="preserve">the power to </w:t>
      </w:r>
      <w:r w:rsidRPr="00EB6BE4">
        <w:rPr>
          <w:rFonts w:cstheme="minorHAnsi"/>
        </w:rPr>
        <w:t>enforce the law and simultaneously not allowing meddlesome interlopers to threaten the effective administration of justice. In this context, finite judicial and governmental resources in deciding and defending clai</w:t>
      </w:r>
      <w:r>
        <w:rPr>
          <w:rFonts w:cstheme="minorHAnsi"/>
        </w:rPr>
        <w:t>ms, respectively, are two prominent concerns</w:t>
      </w:r>
      <w:r w:rsidRPr="00EB6BE4">
        <w:rPr>
          <w:rFonts w:cstheme="minorHAnsi"/>
        </w:rPr>
        <w:t xml:space="preserve">. The concept of standing </w:t>
      </w:r>
      <w:r>
        <w:rPr>
          <w:rFonts w:cstheme="minorHAnsi"/>
        </w:rPr>
        <w:t>is one means of addressing these concerns – it</w:t>
      </w:r>
      <w:r w:rsidRPr="00EB6BE4">
        <w:rPr>
          <w:rFonts w:cstheme="minorHAnsi"/>
        </w:rPr>
        <w:t xml:space="preserve"> is supposed to ensure that only those properly interest</w:t>
      </w:r>
      <w:r>
        <w:rPr>
          <w:rFonts w:cstheme="minorHAnsi"/>
        </w:rPr>
        <w:t>ed</w:t>
      </w:r>
      <w:r w:rsidRPr="00EB6BE4">
        <w:rPr>
          <w:rFonts w:cstheme="minorHAnsi"/>
        </w:rPr>
        <w:t xml:space="preserve"> in a matter are permitted to raise it in the courts. As </w:t>
      </w:r>
      <w:proofErr w:type="spellStart"/>
      <w:r w:rsidRPr="00EB6BE4">
        <w:rPr>
          <w:rFonts w:cstheme="minorHAnsi"/>
        </w:rPr>
        <w:t>Sedley</w:t>
      </w:r>
      <w:proofErr w:type="spellEnd"/>
      <w:r w:rsidRPr="00EB6BE4">
        <w:rPr>
          <w:rFonts w:cstheme="minorHAnsi"/>
        </w:rPr>
        <w:t xml:space="preserve"> J put it in </w:t>
      </w:r>
      <w:r w:rsidRPr="00EB6BE4">
        <w:rPr>
          <w:rFonts w:cstheme="minorHAnsi"/>
          <w:i/>
        </w:rPr>
        <w:t xml:space="preserve">ex p. </w:t>
      </w:r>
      <w:r w:rsidRPr="00EB6BE4">
        <w:rPr>
          <w:rFonts w:cstheme="minorHAnsi"/>
          <w:i/>
        </w:rPr>
        <w:lastRenderedPageBreak/>
        <w:t>Dixon</w:t>
      </w:r>
      <w:r w:rsidRPr="00EB6BE4">
        <w:rPr>
          <w:rStyle w:val="a7"/>
          <w:rFonts w:cstheme="minorHAnsi"/>
        </w:rPr>
        <w:footnoteReference w:id="6"/>
      </w:r>
      <w:r w:rsidRPr="00EB6BE4">
        <w:rPr>
          <w:rFonts w:eastAsia="Times New Roman" w:cstheme="minorHAnsi"/>
        </w:rPr>
        <w:t xml:space="preserve"> considerations of standing come in at “the elementary level of excluding busybodies and troublemakers.” </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eastAsia="Times New Roman" w:cstheme="minorHAnsi"/>
        </w:rPr>
        <w:t xml:space="preserve">However, it must also be kept in mind that the fear of busybodies flooding the courts might be, in the words of Scott, </w:t>
      </w:r>
      <w:r w:rsidRPr="00EB6BE4">
        <w:rPr>
          <w:rFonts w:cstheme="minorHAnsi"/>
        </w:rPr>
        <w:t>“haunt[</w:t>
      </w:r>
      <w:proofErr w:type="spellStart"/>
      <w:r w:rsidRPr="00EB6BE4">
        <w:rPr>
          <w:rFonts w:cstheme="minorHAnsi"/>
        </w:rPr>
        <w:t>ing</w:t>
      </w:r>
      <w:proofErr w:type="spellEnd"/>
      <w:r w:rsidRPr="00EB6BE4">
        <w:rPr>
          <w:rFonts w:cstheme="minorHAnsi"/>
        </w:rPr>
        <w:t>] the legal literature, not the courtroom.”</w:t>
      </w:r>
      <w:r w:rsidRPr="00EB6BE4">
        <w:rPr>
          <w:rStyle w:val="a7"/>
          <w:rFonts w:cstheme="minorHAnsi"/>
        </w:rPr>
        <w:t xml:space="preserve"> </w:t>
      </w:r>
      <w:r w:rsidRPr="00EB6BE4">
        <w:rPr>
          <w:rStyle w:val="a7"/>
          <w:rFonts w:cstheme="minorHAnsi"/>
        </w:rPr>
        <w:footnoteReference w:id="7"/>
      </w:r>
      <w:r w:rsidRPr="00EB6BE4">
        <w:rPr>
          <w:rFonts w:cstheme="minorHAnsi"/>
        </w:rPr>
        <w:t xml:space="preserve"> </w:t>
      </w:r>
      <w:r w:rsidRPr="00EB6BE4">
        <w:rPr>
          <w:rFonts w:eastAsia="Times New Roman" w:cstheme="minorHAnsi"/>
        </w:rPr>
        <w:t xml:space="preserve">Insofar as the arguments in favour of restricting standing are reliant on preventing frivolous claims, they seem to be facing a fundamental problem: those claims will be struck out as without merit and potentially an abuse of process </w:t>
      </w:r>
      <w:r>
        <w:rPr>
          <w:rFonts w:eastAsia="Times New Roman" w:cstheme="minorHAnsi"/>
        </w:rPr>
        <w:t>regardless</w:t>
      </w:r>
      <w:r w:rsidRPr="00EB6BE4">
        <w:rPr>
          <w:rFonts w:eastAsia="Times New Roman" w:cstheme="minorHAnsi"/>
        </w:rPr>
        <w:t>.</w:t>
      </w:r>
      <w:r w:rsidRPr="00EB6BE4">
        <w:rPr>
          <w:rFonts w:cstheme="minorHAnsi"/>
        </w:rPr>
        <w:t xml:space="preserve"> The corollary of Professors Wade and Forsyth’s observation that “[t]he essence of standing, as a distinct concept, is that an applicant with a good case on the merits may have insufficient interest to be allowed to pursue it” must certainly be that a frivolous claim could be disposed of without use of the concept of standing. In light of the foregoing considerations,</w:t>
      </w:r>
      <w:r w:rsidRPr="00EB6BE4">
        <w:rPr>
          <w:rFonts w:eastAsia="Times New Roman" w:cstheme="minorHAnsi"/>
        </w:rPr>
        <w:t xml:space="preserve"> </w:t>
      </w:r>
      <w:r>
        <w:rPr>
          <w:rFonts w:eastAsia="Times New Roman" w:cstheme="minorHAnsi"/>
        </w:rPr>
        <w:t>the applicant submits that the court should be</w:t>
      </w:r>
      <w:r w:rsidRPr="00EB6BE4">
        <w:rPr>
          <w:rFonts w:eastAsia="Times New Roman" w:cstheme="minorHAnsi"/>
        </w:rPr>
        <w:t xml:space="preserve"> slow to accept standing-based </w:t>
      </w:r>
      <w:r>
        <w:rPr>
          <w:rFonts w:eastAsia="Times New Roman" w:cstheme="minorHAnsi"/>
        </w:rPr>
        <w:t>restrictions on judicial review</w:t>
      </w:r>
      <w:r w:rsidRPr="00EB6BE4">
        <w:rPr>
          <w:rFonts w:eastAsia="Times New Roman" w:cstheme="minorHAnsi"/>
        </w:rPr>
        <w:t xml:space="preserve"> challenges for the purposes of preventing an abuse of process. </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The starting point for the court’s assessment of standing should be the relevant statutory provision, to wit. </w:t>
      </w:r>
      <w:proofErr w:type="gramStart"/>
      <w:r w:rsidRPr="00EB6BE4">
        <w:rPr>
          <w:rFonts w:cstheme="minorHAnsi"/>
        </w:rPr>
        <w:t>s.31(</w:t>
      </w:r>
      <w:proofErr w:type="gramEnd"/>
      <w:r w:rsidRPr="00EB6BE4">
        <w:rPr>
          <w:rFonts w:cstheme="minorHAnsi"/>
        </w:rPr>
        <w:t>3) of the Senior Courts Act 1981. It</w:t>
      </w:r>
      <w:r>
        <w:rPr>
          <w:rFonts w:cstheme="minorHAnsi"/>
        </w:rPr>
        <w:t xml:space="preserve"> provides</w:t>
      </w:r>
      <w:r w:rsidRPr="00EB6BE4">
        <w:rPr>
          <w:rFonts w:cstheme="minorHAnsi"/>
        </w:rPr>
        <w:t xml:space="preserve"> that, in order to show standing, an individual must prove a ‘sufficient interest’ in the challenged decision. In this context it is recalled that the aim of </w:t>
      </w:r>
      <w:r>
        <w:rPr>
          <w:rFonts w:cstheme="minorHAnsi"/>
        </w:rPr>
        <w:t>the sufficient interest test</w:t>
      </w:r>
      <w:r w:rsidRPr="00EB6BE4">
        <w:rPr>
          <w:rFonts w:cstheme="minorHAnsi"/>
        </w:rPr>
        <w:t xml:space="preserve"> was to unify and liberalise the rules on standing ap</w:t>
      </w:r>
      <w:r>
        <w:rPr>
          <w:rFonts w:cstheme="minorHAnsi"/>
        </w:rPr>
        <w:t xml:space="preserve">plicable to </w:t>
      </w:r>
      <w:r w:rsidRPr="00EB6BE4">
        <w:rPr>
          <w:rFonts w:cstheme="minorHAnsi"/>
        </w:rPr>
        <w:t xml:space="preserve">different actions. In the words of Lord </w:t>
      </w:r>
      <w:proofErr w:type="spellStart"/>
      <w:r w:rsidRPr="00EB6BE4">
        <w:rPr>
          <w:rFonts w:cstheme="minorHAnsi"/>
        </w:rPr>
        <w:t>Roskill</w:t>
      </w:r>
      <w:proofErr w:type="spellEnd"/>
      <w:r w:rsidRPr="00EB6BE4">
        <w:rPr>
          <w:rFonts w:cstheme="minorHAnsi"/>
        </w:rPr>
        <w:t xml:space="preserve"> in </w:t>
      </w:r>
      <w:r w:rsidRPr="00EB6BE4">
        <w:rPr>
          <w:rFonts w:cstheme="minorHAnsi"/>
          <w:i/>
        </w:rPr>
        <w:t>National Federation</w:t>
      </w:r>
      <w:r w:rsidRPr="00EB6BE4">
        <w:rPr>
          <w:rFonts w:cstheme="minorHAnsi"/>
        </w:rPr>
        <w:t>,</w:t>
      </w:r>
      <w:r w:rsidRPr="00EB6BE4">
        <w:rPr>
          <w:rStyle w:val="a7"/>
          <w:rFonts w:cstheme="minorHAnsi"/>
        </w:rPr>
        <w:footnoteReference w:id="8"/>
      </w:r>
      <w:r w:rsidRPr="00EB6BE4">
        <w:rPr>
          <w:rFonts w:cstheme="minorHAnsi"/>
        </w:rPr>
        <w:t xml:space="preserve"> the phrasing was chosen by the drafting committee “as one which could sufficiently embrace all classes of those who might apply and yet permit sufficient flexibility in any given case to determine whether ‘sufficie</w:t>
      </w:r>
      <w:r>
        <w:rPr>
          <w:rFonts w:cstheme="minorHAnsi"/>
        </w:rPr>
        <w:t>nt interest’ was in fact shown[.]”</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Historically, </w:t>
      </w:r>
      <w:r>
        <w:rPr>
          <w:rFonts w:cstheme="minorHAnsi"/>
        </w:rPr>
        <w:t>the rules on standing were relatively strict.  For instance</w:t>
      </w:r>
      <w:r w:rsidRPr="00EB6BE4">
        <w:rPr>
          <w:rFonts w:cstheme="minorHAnsi"/>
        </w:rPr>
        <w:t xml:space="preserve">, in </w:t>
      </w:r>
      <w:proofErr w:type="spellStart"/>
      <w:r w:rsidRPr="00EB6BE4">
        <w:rPr>
          <w:rFonts w:cstheme="minorHAnsi"/>
          <w:i/>
        </w:rPr>
        <w:t>Gouriet</w:t>
      </w:r>
      <w:proofErr w:type="spellEnd"/>
      <w:r w:rsidRPr="00EB6BE4">
        <w:rPr>
          <w:rFonts w:cstheme="minorHAnsi"/>
        </w:rPr>
        <w:t>,</w:t>
      </w:r>
      <w:r w:rsidRPr="00EB6BE4">
        <w:rPr>
          <w:rStyle w:val="a7"/>
          <w:rFonts w:cstheme="minorHAnsi"/>
        </w:rPr>
        <w:footnoteReference w:id="9"/>
      </w:r>
      <w:r w:rsidRPr="00EB6BE4">
        <w:rPr>
          <w:rFonts w:cstheme="minorHAnsi"/>
        </w:rPr>
        <w:t xml:space="preserve"> a case concerned with </w:t>
      </w:r>
      <w:r>
        <w:rPr>
          <w:rFonts w:cstheme="minorHAnsi"/>
        </w:rPr>
        <w:t xml:space="preserve">the Attorney-General’s refusal to allow his name being used for a </w:t>
      </w:r>
      <w:proofErr w:type="spellStart"/>
      <w:r>
        <w:rPr>
          <w:rFonts w:cstheme="minorHAnsi"/>
        </w:rPr>
        <w:t>relator</w:t>
      </w:r>
      <w:proofErr w:type="spellEnd"/>
      <w:r>
        <w:rPr>
          <w:rFonts w:cstheme="minorHAnsi"/>
        </w:rPr>
        <w:t>-action</w:t>
      </w:r>
      <w:r w:rsidRPr="00EB6BE4">
        <w:rPr>
          <w:rFonts w:cstheme="minorHAnsi"/>
        </w:rPr>
        <w:t xml:space="preserve">, the House of Lords held that, whereas the public interest is to be enforced by the Attorney General, individuals are limited to enforcing private rights. </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Pr>
          <w:rFonts w:cstheme="minorHAnsi"/>
        </w:rPr>
        <w:lastRenderedPageBreak/>
        <w:t xml:space="preserve">The Senior Courts Act (1981), as interpreted by the courts over the past decades, has </w:t>
      </w:r>
      <w:r w:rsidRPr="00EB6BE4">
        <w:rPr>
          <w:rFonts w:cstheme="minorHAnsi"/>
        </w:rPr>
        <w:t xml:space="preserve">clearly changed this position. That an individual no longer needs to be affected in his private law rights is a corollary of the public law’s concern with wrongs rather than rights. As </w:t>
      </w:r>
      <w:proofErr w:type="spellStart"/>
      <w:r w:rsidRPr="00EB6BE4">
        <w:rPr>
          <w:rFonts w:cstheme="minorHAnsi"/>
        </w:rPr>
        <w:t>Sedley</w:t>
      </w:r>
      <w:proofErr w:type="spellEnd"/>
      <w:r w:rsidRPr="00EB6BE4">
        <w:rPr>
          <w:rFonts w:cstheme="minorHAnsi"/>
        </w:rPr>
        <w:t xml:space="preserve"> LJ put it in </w:t>
      </w:r>
      <w:proofErr w:type="spellStart"/>
      <w:r w:rsidRPr="00EB6BE4">
        <w:rPr>
          <w:rFonts w:cstheme="minorHAnsi"/>
          <w:i/>
        </w:rPr>
        <w:t>Bancoult</w:t>
      </w:r>
      <w:proofErr w:type="spellEnd"/>
      <w:r w:rsidRPr="00EB6BE4">
        <w:rPr>
          <w:rFonts w:cstheme="minorHAnsi"/>
        </w:rPr>
        <w:t>,</w:t>
      </w:r>
      <w:r w:rsidRPr="00EB6BE4">
        <w:rPr>
          <w:rStyle w:val="a7"/>
          <w:rFonts w:cstheme="minorHAnsi"/>
        </w:rPr>
        <w:footnoteReference w:id="10"/>
      </w:r>
      <w:r w:rsidRPr="00EB6BE4">
        <w:rPr>
          <w:rFonts w:cstheme="minorHAnsi"/>
        </w:rPr>
        <w:t xml:space="preserve"> “the test for standing for public law claimants</w:t>
      </w:r>
      <w:r>
        <w:rPr>
          <w:rFonts w:cstheme="minorHAnsi"/>
        </w:rPr>
        <w:t xml:space="preserve"> [...] </w:t>
      </w:r>
      <w:r w:rsidRPr="00EB6BE4">
        <w:rPr>
          <w:rFonts w:cstheme="minorHAnsi"/>
        </w:rPr>
        <w:t xml:space="preserve">is interest-based rather than rights-based.” </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Whilst it is thus clear that individuals, and indeed organisations such as the applicant, might legitimately challenge official conduct</w:t>
      </w:r>
      <w:r>
        <w:rPr>
          <w:rFonts w:cstheme="minorHAnsi"/>
        </w:rPr>
        <w:t xml:space="preserve"> even in the absence of private law rights at issue</w:t>
      </w:r>
      <w:r w:rsidRPr="00EB6BE4">
        <w:rPr>
          <w:rFonts w:cstheme="minorHAnsi"/>
        </w:rPr>
        <w:t xml:space="preserve">, it remains to be demonstrated that the applicant has the requisite interest. It is submitted that the applicant does indeed have that interest on two related grounds. First, it is submitted that the applicant </w:t>
      </w:r>
      <w:r>
        <w:rPr>
          <w:rFonts w:cstheme="minorHAnsi"/>
        </w:rPr>
        <w:t>satisfies</w:t>
      </w:r>
      <w:r w:rsidRPr="00EB6BE4">
        <w:rPr>
          <w:rFonts w:cstheme="minorHAnsi"/>
        </w:rPr>
        <w:t xml:space="preserve"> the general, fact-specific test </w:t>
      </w:r>
      <w:r>
        <w:rPr>
          <w:rFonts w:cstheme="minorHAnsi"/>
        </w:rPr>
        <w:t xml:space="preserve">for standing </w:t>
      </w:r>
      <w:r w:rsidRPr="00EB6BE4">
        <w:rPr>
          <w:rFonts w:cstheme="minorHAnsi"/>
        </w:rPr>
        <w:t xml:space="preserve">as laid out in </w:t>
      </w:r>
      <w:r w:rsidRPr="00EB6BE4">
        <w:rPr>
          <w:rFonts w:cstheme="minorHAnsi"/>
          <w:i/>
        </w:rPr>
        <w:t>National Federation</w:t>
      </w:r>
      <w:r w:rsidRPr="00EB6BE4">
        <w:rPr>
          <w:rFonts w:cstheme="minorHAnsi"/>
        </w:rPr>
        <w:t xml:space="preserve">. </w:t>
      </w:r>
      <w:r>
        <w:rPr>
          <w:rFonts w:cstheme="minorHAnsi"/>
        </w:rPr>
        <w:t xml:space="preserve">Second, </w:t>
      </w:r>
      <w:r w:rsidRPr="00EB6BE4">
        <w:rPr>
          <w:rFonts w:cstheme="minorHAnsi"/>
        </w:rPr>
        <w:t xml:space="preserve">it </w:t>
      </w:r>
      <w:r>
        <w:rPr>
          <w:rFonts w:cstheme="minorHAnsi"/>
        </w:rPr>
        <w:t>is</w:t>
      </w:r>
      <w:r w:rsidRPr="00EB6BE4">
        <w:rPr>
          <w:rFonts w:cstheme="minorHAnsi"/>
        </w:rPr>
        <w:t xml:space="preserve"> submitted that the applicant</w:t>
      </w:r>
      <w:r>
        <w:rPr>
          <w:rFonts w:cstheme="minorHAnsi"/>
        </w:rPr>
        <w:t>’s</w:t>
      </w:r>
      <w:r w:rsidRPr="00EB6BE4">
        <w:rPr>
          <w:rFonts w:cstheme="minorHAnsi"/>
        </w:rPr>
        <w:t xml:space="preserve"> </w:t>
      </w:r>
      <w:r>
        <w:rPr>
          <w:rFonts w:cstheme="minorHAnsi"/>
        </w:rPr>
        <w:t>standing is further established in virtue of its having a multiplicity of the attributes considered significant in granting standing to public interest groups</w:t>
      </w:r>
      <w:r w:rsidRPr="00EB6BE4">
        <w:rPr>
          <w:rFonts w:cstheme="minorHAnsi"/>
        </w:rPr>
        <w:t xml:space="preserve">. </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It is submitted that the decision in </w:t>
      </w:r>
      <w:r w:rsidRPr="00EB6BE4">
        <w:rPr>
          <w:rFonts w:cstheme="minorHAnsi"/>
          <w:i/>
        </w:rPr>
        <w:t xml:space="preserve">National Federation </w:t>
      </w:r>
      <w:r w:rsidRPr="00EB6BE4">
        <w:rPr>
          <w:rFonts w:cstheme="minorHAnsi"/>
        </w:rPr>
        <w:t>is best understood against the background of its own facts. In particular, Lord Wilberforce’s statements regarding the general absence of ‘sufficient interest’ of some tax-payers in challenging the IRC’s assessment of other tax-payers, can only be understood in conjunction with his subsequent statement that ‘indeed, there [was] a strong public interest that [tax-payers] should not [challenge each</w:t>
      </w:r>
      <w:r>
        <w:rPr>
          <w:rFonts w:cstheme="minorHAnsi"/>
        </w:rPr>
        <w:t xml:space="preserve"> </w:t>
      </w:r>
      <w:r w:rsidRPr="00EB6BE4">
        <w:rPr>
          <w:rFonts w:cstheme="minorHAnsi"/>
        </w:rPr>
        <w:t>other’s assessment]’. In light of the fact that his lordship believed that ‘</w:t>
      </w:r>
      <w:r w:rsidRPr="00EB6BE4">
        <w:rPr>
          <w:rFonts w:cstheme="minorHAnsi"/>
          <w:lang w:val="en-US"/>
        </w:rPr>
        <w:t xml:space="preserve">the question of sufficient interest cannot, in such cases, be considered in the abstract, or as an isolated point: it must be taken together with the legal and factual context’, it would simply be wrong to assess the outcome of that case without reference to its own facts. </w:t>
      </w:r>
      <w:r>
        <w:rPr>
          <w:rFonts w:cstheme="minorHAnsi"/>
        </w:rPr>
        <w:t xml:space="preserve">As the editors of </w:t>
      </w:r>
      <w:r w:rsidRPr="0064082A">
        <w:rPr>
          <w:rFonts w:cstheme="minorHAnsi"/>
          <w:i/>
        </w:rPr>
        <w:t>Wade and Forsyth</w:t>
      </w:r>
      <w:r>
        <w:rPr>
          <w:rFonts w:cstheme="minorHAnsi"/>
        </w:rPr>
        <w:t xml:space="preserve"> point out</w:t>
      </w:r>
      <w:r w:rsidRPr="00EB6BE4">
        <w:rPr>
          <w:rFonts w:cstheme="minorHAnsi"/>
        </w:rPr>
        <w:t>,</w:t>
      </w:r>
      <w:r w:rsidRPr="00EB6BE4">
        <w:rPr>
          <w:rStyle w:val="a7"/>
          <w:rFonts w:cstheme="minorHAnsi"/>
        </w:rPr>
        <w:footnoteReference w:id="11"/>
      </w:r>
      <w:r>
        <w:rPr>
          <w:rFonts w:cstheme="minorHAnsi"/>
        </w:rPr>
        <w:t xml:space="preserve"> </w:t>
      </w:r>
      <w:r w:rsidRPr="00EB6BE4">
        <w:rPr>
          <w:rFonts w:cstheme="minorHAnsi"/>
        </w:rPr>
        <w:t>the real question is whether the applicant can show some substantial default or abuse, and not whether his personal ri</w:t>
      </w:r>
      <w:r>
        <w:rPr>
          <w:rFonts w:cstheme="minorHAnsi"/>
        </w:rPr>
        <w:t>ghts or interests are involved.</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This understanding of that case is confirmed by Rose LJ, in the </w:t>
      </w:r>
      <w:r w:rsidRPr="00EB6BE4">
        <w:rPr>
          <w:rFonts w:cstheme="minorHAnsi"/>
          <w:i/>
        </w:rPr>
        <w:t>World Development Movement</w:t>
      </w:r>
      <w:r w:rsidRPr="00EB6BE4">
        <w:rPr>
          <w:rFonts w:cstheme="minorHAnsi"/>
        </w:rPr>
        <w:t xml:space="preserve"> case,</w:t>
      </w:r>
      <w:r w:rsidRPr="00EB6BE4">
        <w:rPr>
          <w:rStyle w:val="a7"/>
          <w:rFonts w:cstheme="minorHAnsi"/>
        </w:rPr>
        <w:footnoteReference w:id="12"/>
      </w:r>
      <w:r w:rsidRPr="00EB6BE4">
        <w:rPr>
          <w:rFonts w:cstheme="minorHAnsi"/>
        </w:rPr>
        <w:t xml:space="preserve"> where ‘[he found] nothing in </w:t>
      </w:r>
      <w:r w:rsidRPr="00EB6BE4">
        <w:rPr>
          <w:rFonts w:cstheme="minorHAnsi"/>
          <w:i/>
        </w:rPr>
        <w:t>Reg. v. Inland Revenue Commissioners, Ex parte National Federation of Self-Employed and Small Businesses Ltd.</w:t>
      </w:r>
      <w:r w:rsidRPr="00EB6BE4">
        <w:rPr>
          <w:rFonts w:cstheme="minorHAnsi"/>
        </w:rPr>
        <w:t xml:space="preserve"> [1982] A.C. 617 to deny standing to [otherwise meritorious] applicants.’ His lordship </w:t>
      </w:r>
      <w:r w:rsidRPr="00EB6BE4">
        <w:rPr>
          <w:rFonts w:cstheme="minorHAnsi"/>
        </w:rPr>
        <w:lastRenderedPageBreak/>
        <w:t>went on to state ‘[</w:t>
      </w:r>
      <w:proofErr w:type="spellStart"/>
      <w:r w:rsidRPr="00EB6BE4">
        <w:rPr>
          <w:rFonts w:cstheme="minorHAnsi"/>
        </w:rPr>
        <w:t>i</w:t>
      </w:r>
      <w:proofErr w:type="spellEnd"/>
      <w:r w:rsidRPr="00EB6BE4">
        <w:rPr>
          <w:rFonts w:cstheme="minorHAnsi"/>
        </w:rPr>
        <w:t xml:space="preserve">]t is also clear from </w:t>
      </w:r>
      <w:r w:rsidRPr="00EB6BE4">
        <w:rPr>
          <w:rFonts w:cstheme="minorHAnsi"/>
          <w:i/>
        </w:rPr>
        <w:t xml:space="preserve">Ex parte National Federation </w:t>
      </w:r>
      <w:r w:rsidRPr="00EB6BE4">
        <w:rPr>
          <w:rFonts w:cstheme="minorHAnsi"/>
        </w:rPr>
        <w:t>…</w:t>
      </w:r>
      <w:r w:rsidRPr="00EB6BE4">
        <w:rPr>
          <w:rFonts w:cstheme="minorHAnsi"/>
          <w:i/>
        </w:rPr>
        <w:t xml:space="preserve"> </w:t>
      </w:r>
      <w:r w:rsidRPr="00EB6BE4">
        <w:rPr>
          <w:rFonts w:cstheme="minorHAnsi"/>
        </w:rPr>
        <w:t xml:space="preserve">that </w:t>
      </w:r>
      <w:r w:rsidRPr="00EB6BE4">
        <w:rPr>
          <w:rFonts w:cstheme="minorHAnsi"/>
          <w:i/>
        </w:rPr>
        <w:t>standing should not be treated as a preliminary issue, but must be taken in the legal and factual context of the whole case</w:t>
      </w:r>
      <w:r w:rsidRPr="00EB6BE4">
        <w:rPr>
          <w:rFonts w:cstheme="minorHAnsi"/>
        </w:rPr>
        <w:t xml:space="preserve">: see </w:t>
      </w:r>
      <w:r w:rsidRPr="00EB6BE4">
        <w:rPr>
          <w:rStyle w:val="ac"/>
          <w:rFonts w:cstheme="minorHAnsi"/>
        </w:rPr>
        <w:t>per</w:t>
      </w:r>
      <w:r w:rsidRPr="00EB6BE4">
        <w:rPr>
          <w:rFonts w:cstheme="minorHAnsi"/>
        </w:rPr>
        <w:t xml:space="preserve"> Lord Wilberforce, at p. 630D, Lord Fraser, at p. 645D and Lord </w:t>
      </w:r>
      <w:proofErr w:type="spellStart"/>
      <w:r w:rsidRPr="00EB6BE4">
        <w:rPr>
          <w:rFonts w:cstheme="minorHAnsi"/>
        </w:rPr>
        <w:t>Scarman</w:t>
      </w:r>
      <w:proofErr w:type="spellEnd"/>
      <w:r w:rsidRPr="00EB6BE4">
        <w:rPr>
          <w:rFonts w:cstheme="minorHAnsi"/>
        </w:rPr>
        <w:t xml:space="preserve">, at p. 653F.  Furthermore, the merits of the challenge are an important, if not dominant, factor when considering </w:t>
      </w:r>
      <w:proofErr w:type="gramStart"/>
      <w:r w:rsidRPr="00EB6BE4">
        <w:rPr>
          <w:rFonts w:cstheme="minorHAnsi"/>
        </w:rPr>
        <w:t>standing[</w:t>
      </w:r>
      <w:proofErr w:type="gramEnd"/>
      <w:r w:rsidRPr="00EB6BE4">
        <w:rPr>
          <w:rFonts w:cstheme="minorHAnsi"/>
        </w:rPr>
        <w:t xml:space="preserve">.]’ It is submitted that, in light of the observations in the previous paragraph, Rose LJ’s understanding of the approach taken in </w:t>
      </w:r>
      <w:r w:rsidRPr="00EB6BE4">
        <w:rPr>
          <w:rFonts w:cstheme="minorHAnsi"/>
          <w:i/>
        </w:rPr>
        <w:t>National Federation</w:t>
      </w:r>
      <w:r w:rsidRPr="00EB6BE4">
        <w:rPr>
          <w:rFonts w:cstheme="minorHAnsi"/>
        </w:rPr>
        <w:t xml:space="preserve"> is the correct and authoritative interpretation of that case. </w:t>
      </w:r>
    </w:p>
    <w:p w:rsidR="007867B3"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In accordance with this understanding, it is clear that the applicant must be granted standing. The protection of amphibian species is clearly encompassed within the consideration of preserving biodiversity under s.27 of the act, and the question of whether due account was taken </w:t>
      </w:r>
      <w:r>
        <w:rPr>
          <w:rFonts w:cstheme="minorHAnsi"/>
        </w:rPr>
        <w:t>of the need for such</w:t>
      </w:r>
      <w:r w:rsidRPr="00EB6BE4">
        <w:rPr>
          <w:rFonts w:cstheme="minorHAnsi"/>
        </w:rPr>
        <w:t xml:space="preserve"> protection deserves to be ventilated in the courts. Whilst the</w:t>
      </w:r>
      <w:r>
        <w:rPr>
          <w:rFonts w:cstheme="minorHAnsi"/>
        </w:rPr>
        <w:t xml:space="preserve">re was a consultation process, </w:t>
      </w:r>
      <w:r w:rsidRPr="00EB6BE4">
        <w:rPr>
          <w:rFonts w:cstheme="minorHAnsi"/>
        </w:rPr>
        <w:t xml:space="preserve">the applicant </w:t>
      </w:r>
      <w:r>
        <w:rPr>
          <w:rFonts w:cstheme="minorHAnsi"/>
        </w:rPr>
        <w:t xml:space="preserve">submits that participation in such consultations should not detract from otherwise valid standing to bring a claim for judicial review in regard to the same subject matter as covered by the consultation. In particular, in the Supreme Court’s decision in </w:t>
      </w:r>
      <w:r>
        <w:rPr>
          <w:rFonts w:cstheme="minorHAnsi"/>
          <w:i/>
        </w:rPr>
        <w:t>Walton v Scottish Ministers</w:t>
      </w:r>
      <w:r>
        <w:rPr>
          <w:rFonts w:cstheme="minorHAnsi"/>
        </w:rPr>
        <w:t xml:space="preserve">, Lord Hope accepted (in </w:t>
      </w:r>
      <w:r w:rsidRPr="0058052C">
        <w:rPr>
          <w:rFonts w:cstheme="minorHAnsi"/>
          <w:i/>
        </w:rPr>
        <w:t>obiter</w:t>
      </w:r>
      <w:r>
        <w:rPr>
          <w:rFonts w:cstheme="minorHAnsi"/>
        </w:rPr>
        <w:t xml:space="preserve">) </w:t>
      </w:r>
      <w:r w:rsidRPr="0058052C">
        <w:rPr>
          <w:rFonts w:cstheme="minorHAnsi"/>
        </w:rPr>
        <w:t>that</w:t>
      </w:r>
      <w:r>
        <w:rPr>
          <w:rFonts w:cstheme="minorHAnsi"/>
        </w:rPr>
        <w:t xml:space="preserve"> standing might be granted to an unaffected individual in regard to environmental matters – even where that individual had participated in public consultations –where the applicant otherwise met the conditions for standing (for example a genuine interest in environmental matters, sufficient expertise, etc.).</w:t>
      </w:r>
      <w:r>
        <w:rPr>
          <w:rStyle w:val="a7"/>
          <w:rFonts w:cstheme="minorHAnsi"/>
        </w:rPr>
        <w:footnoteReference w:id="13"/>
      </w:r>
      <w:r>
        <w:rPr>
          <w:rFonts w:cstheme="minorHAnsi"/>
        </w:rPr>
        <w:t xml:space="preserve"> </w:t>
      </w:r>
    </w:p>
    <w:p w:rsidR="007867B3" w:rsidRPr="0058052C" w:rsidRDefault="007867B3" w:rsidP="007867B3">
      <w:pPr>
        <w:pStyle w:val="a3"/>
        <w:numPr>
          <w:ilvl w:val="0"/>
          <w:numId w:val="20"/>
        </w:numPr>
        <w:spacing w:after="200" w:line="360" w:lineRule="auto"/>
        <w:ind w:left="0" w:firstLine="0"/>
        <w:contextualSpacing w:val="0"/>
        <w:jc w:val="both"/>
        <w:rPr>
          <w:rFonts w:cstheme="minorHAnsi"/>
        </w:rPr>
      </w:pPr>
      <w:r>
        <w:rPr>
          <w:rFonts w:cstheme="minorHAnsi"/>
        </w:rPr>
        <w:t xml:space="preserve">It is worth quoting from Lord Hope’s speech </w:t>
      </w:r>
      <w:r w:rsidRPr="0058052C">
        <w:t>in</w:t>
      </w:r>
      <w:r>
        <w:t xml:space="preserve"> </w:t>
      </w:r>
      <w:r w:rsidRPr="0058052C">
        <w:rPr>
          <w:i/>
        </w:rPr>
        <w:t>Walton</w:t>
      </w:r>
      <w:r>
        <w:t xml:space="preserve">, as it captures the essence of the applicant’s arguments in regard to standing: </w:t>
      </w:r>
    </w:p>
    <w:p w:rsidR="007867B3" w:rsidRPr="0058052C" w:rsidRDefault="007867B3" w:rsidP="007867B3">
      <w:pPr>
        <w:spacing w:after="200"/>
        <w:ind w:left="1077" w:right="930"/>
        <w:jc w:val="both"/>
        <w:rPr>
          <w:rFonts w:cstheme="minorHAnsi"/>
        </w:rPr>
      </w:pPr>
      <w:bookmarkStart w:id="0" w:name="para152"/>
      <w:r>
        <w:t xml:space="preserve">An individual may be personally affected in his private interests by the environmental issues to which an application for planning permission may give rise. Noise and disturbance to the visual amenity of his property are some obvious examples. But some environmental issues that can properly be raised by an individual are not of that character. Take, for example, the risk that a route used by an osprey as it moves to and from a favourite fishing loch will be impeded by the proposed erection across it of a cluster of wind turbines. Does the fact that this proposal cannot reasonably be said to affect any individual's property rights or interests mean that it is not open to an individual to challenge the proposed </w:t>
      </w:r>
      <w:r>
        <w:lastRenderedPageBreak/>
        <w:t>development on this ground? That would seem to be contrary to the purpose of environmental law, which proceeds on the basis that the quality of the natural environment is of legitimate concern to everyone. The osprey has no means of taking that step on its own behalf, any more than any other wild creature. If its interests are to be protected someone has to be allowed to speak up on its behalf.</w:t>
      </w:r>
      <w:bookmarkEnd w:id="0"/>
      <w:r>
        <w:rPr>
          <w:rStyle w:val="a7"/>
        </w:rPr>
        <w:footnoteReference w:id="14"/>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t xml:space="preserve">Like the osprey, amphibians have no means of representing their own interests – and this will be even more true once extinct – as </w:t>
      </w:r>
      <w:r w:rsidRPr="00EB6BE4">
        <w:rPr>
          <w:rFonts w:cstheme="minorHAnsi"/>
        </w:rPr>
        <w:t xml:space="preserve">there is nothing that can be done to reverse that process. It is submitted that the irreversibility of extinction makes these concerns rank especially high in the protection of environmental interests. Therefore, it is argued that </w:t>
      </w:r>
      <w:r>
        <w:rPr>
          <w:rFonts w:cstheme="minorHAnsi"/>
        </w:rPr>
        <w:t xml:space="preserve">the Secretary of State’s </w:t>
      </w:r>
      <w:r w:rsidRPr="00EB6BE4">
        <w:rPr>
          <w:rFonts w:cstheme="minorHAnsi"/>
        </w:rPr>
        <w:t>unsubstantiated assertion of un</w:t>
      </w:r>
      <w:r>
        <w:rPr>
          <w:rFonts w:cstheme="minorHAnsi"/>
        </w:rPr>
        <w:t>-</w:t>
      </w:r>
      <w:r w:rsidRPr="00EB6BE4">
        <w:rPr>
          <w:rFonts w:cstheme="minorHAnsi"/>
        </w:rPr>
        <w:t xml:space="preserve">quantified future benefits to the environment and </w:t>
      </w:r>
      <w:proofErr w:type="gramStart"/>
      <w:r w:rsidRPr="00EB6BE4">
        <w:rPr>
          <w:rFonts w:cstheme="minorHAnsi"/>
        </w:rPr>
        <w:t xml:space="preserve">biodiversity </w:t>
      </w:r>
      <w:r>
        <w:rPr>
          <w:rFonts w:cstheme="minorHAnsi"/>
        </w:rPr>
        <w:t xml:space="preserve">cannot </w:t>
      </w:r>
      <w:r w:rsidRPr="00EB6BE4">
        <w:rPr>
          <w:rFonts w:cstheme="minorHAnsi"/>
        </w:rPr>
        <w:t>not excuse the clear, immediate harm to the environment and biodiversity</w:t>
      </w:r>
      <w:r>
        <w:rPr>
          <w:rFonts w:cstheme="minorHAnsi"/>
        </w:rPr>
        <w:t xml:space="preserve"> which will result from the railway project</w:t>
      </w:r>
      <w:proofErr w:type="gramEnd"/>
      <w:r w:rsidRPr="00EB6BE4">
        <w:rPr>
          <w:rFonts w:cstheme="minorHAnsi"/>
        </w:rPr>
        <w:t xml:space="preserve">. </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Pr>
          <w:rFonts w:cstheme="minorHAnsi"/>
        </w:rPr>
        <w:t xml:space="preserve">It is </w:t>
      </w:r>
      <w:r w:rsidRPr="00EB6BE4">
        <w:rPr>
          <w:rFonts w:cstheme="minorHAnsi"/>
        </w:rPr>
        <w:t xml:space="preserve">submitted that, in any case, the development of the law post - </w:t>
      </w:r>
      <w:r w:rsidRPr="00EB6BE4">
        <w:rPr>
          <w:rFonts w:cstheme="minorHAnsi"/>
          <w:i/>
        </w:rPr>
        <w:t>National Federation</w:t>
      </w:r>
      <w:r w:rsidRPr="00EB6BE4">
        <w:rPr>
          <w:rFonts w:cstheme="minorHAnsi"/>
        </w:rPr>
        <w:t xml:space="preserve"> has recognised a range of different factors which would increase the likelihood of standing being granted to an organisation acting in the public interest. </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First, it is submitted that the cases of </w:t>
      </w:r>
      <w:r w:rsidRPr="00EB6BE4">
        <w:rPr>
          <w:rFonts w:cstheme="minorHAnsi"/>
          <w:i/>
        </w:rPr>
        <w:t>Equal Opportunities Commission</w:t>
      </w:r>
      <w:r w:rsidRPr="00EB6BE4">
        <w:rPr>
          <w:rFonts w:cstheme="minorHAnsi"/>
        </w:rPr>
        <w:t>,</w:t>
      </w:r>
      <w:r w:rsidRPr="00EB6BE4">
        <w:rPr>
          <w:rStyle w:val="a7"/>
          <w:rFonts w:cstheme="minorHAnsi"/>
        </w:rPr>
        <w:footnoteReference w:id="15"/>
      </w:r>
      <w:r w:rsidRPr="00EB6BE4">
        <w:rPr>
          <w:rFonts w:cstheme="minorHAnsi"/>
        </w:rPr>
        <w:t xml:space="preserve"> </w:t>
      </w:r>
      <w:r w:rsidRPr="00EB6BE4">
        <w:rPr>
          <w:rFonts w:cstheme="minorHAnsi"/>
          <w:i/>
        </w:rPr>
        <w:t>Rees-</w:t>
      </w:r>
      <w:proofErr w:type="spellStart"/>
      <w:r w:rsidRPr="00EB6BE4">
        <w:rPr>
          <w:rFonts w:cstheme="minorHAnsi"/>
          <w:i/>
        </w:rPr>
        <w:t>Mogg</w:t>
      </w:r>
      <w:proofErr w:type="spellEnd"/>
      <w:r w:rsidRPr="00EB6BE4">
        <w:rPr>
          <w:rFonts w:cstheme="minorHAnsi"/>
          <w:i/>
        </w:rPr>
        <w:t>,</w:t>
      </w:r>
      <w:r w:rsidRPr="00EB6BE4">
        <w:rPr>
          <w:rStyle w:val="a7"/>
          <w:rFonts w:cstheme="minorHAnsi"/>
          <w:i/>
        </w:rPr>
        <w:footnoteReference w:id="16"/>
      </w:r>
      <w:r w:rsidRPr="00EB6BE4">
        <w:rPr>
          <w:rFonts w:cstheme="minorHAnsi"/>
        </w:rPr>
        <w:t xml:space="preserve"> </w:t>
      </w:r>
      <w:r w:rsidRPr="00EB6BE4">
        <w:rPr>
          <w:rFonts w:cstheme="minorHAnsi"/>
          <w:i/>
        </w:rPr>
        <w:t>Dixon</w:t>
      </w:r>
      <w:r>
        <w:rPr>
          <w:rFonts w:cstheme="minorHAnsi"/>
        </w:rPr>
        <w:t xml:space="preserve">, and </w:t>
      </w:r>
      <w:r>
        <w:rPr>
          <w:rFonts w:cstheme="minorHAnsi"/>
          <w:i/>
        </w:rPr>
        <w:t xml:space="preserve">Walton </w:t>
      </w:r>
      <w:r w:rsidRPr="00EB6BE4">
        <w:rPr>
          <w:rFonts w:cstheme="minorHAnsi"/>
        </w:rPr>
        <w:t xml:space="preserve">clearly indicate that where a claimant has been engaged in and </w:t>
      </w:r>
      <w:r>
        <w:rPr>
          <w:rFonts w:cstheme="minorHAnsi"/>
        </w:rPr>
        <w:t xml:space="preserve">is </w:t>
      </w:r>
      <w:r w:rsidRPr="00EB6BE4">
        <w:rPr>
          <w:rFonts w:cstheme="minorHAnsi"/>
        </w:rPr>
        <w:t>concerned with a matter of public interest</w:t>
      </w:r>
      <w:r>
        <w:rPr>
          <w:rFonts w:cstheme="minorHAnsi"/>
        </w:rPr>
        <w:t>,</w:t>
      </w:r>
      <w:r w:rsidRPr="00EB6BE4">
        <w:rPr>
          <w:rFonts w:cstheme="minorHAnsi"/>
        </w:rPr>
        <w:t xml:space="preserve"> this is a factor pointing to the conclusion that they have a ‘sufficient interest’ to bring judicial review. In </w:t>
      </w:r>
      <w:r w:rsidRPr="00EB6BE4">
        <w:rPr>
          <w:rFonts w:cstheme="minorHAnsi"/>
          <w:i/>
        </w:rPr>
        <w:t>Equal Opportunities Commission</w:t>
      </w:r>
      <w:r w:rsidRPr="00EB6BE4">
        <w:rPr>
          <w:rFonts w:cstheme="minorHAnsi"/>
        </w:rPr>
        <w:t xml:space="preserve">, Lord Keith’s argument, for the majority, relied on the commissions functions in relation to all matters relating to sex discrimination, to come to the conclusion that it ‘would be a very retrograde step now to hold that the E.O.C. has no </w:t>
      </w:r>
      <w:r w:rsidRPr="00EB6BE4">
        <w:rPr>
          <w:rFonts w:cstheme="minorHAnsi"/>
          <w:i/>
        </w:rPr>
        <w:t xml:space="preserve">locus </w:t>
      </w:r>
      <w:proofErr w:type="spellStart"/>
      <w:r w:rsidRPr="00EB6BE4">
        <w:rPr>
          <w:rFonts w:cstheme="minorHAnsi"/>
          <w:i/>
        </w:rPr>
        <w:t>standi</w:t>
      </w:r>
      <w:proofErr w:type="spellEnd"/>
      <w:r w:rsidRPr="00EB6BE4">
        <w:rPr>
          <w:rFonts w:cstheme="minorHAnsi"/>
        </w:rPr>
        <w:t xml:space="preserve"> to agitate in judicial review proceedings questions related to sex discrimination[.]’ Similarly, Mr Dixon’s involvement as a councillor in the local matters being challenged in </w:t>
      </w:r>
      <w:r w:rsidRPr="00EB6BE4">
        <w:rPr>
          <w:rFonts w:cstheme="minorHAnsi"/>
          <w:i/>
        </w:rPr>
        <w:t>Dixon</w:t>
      </w:r>
      <w:r w:rsidRPr="00EB6BE4">
        <w:rPr>
          <w:rFonts w:cstheme="minorHAnsi"/>
        </w:rPr>
        <w:t xml:space="preserve"> was sufficient to make out a ‘sufficient interest’. Lord Rees-</w:t>
      </w:r>
      <w:proofErr w:type="spellStart"/>
      <w:r w:rsidRPr="00EB6BE4">
        <w:rPr>
          <w:rFonts w:cstheme="minorHAnsi"/>
        </w:rPr>
        <w:t>Mogg</w:t>
      </w:r>
      <w:proofErr w:type="spellEnd"/>
      <w:r w:rsidRPr="00EB6BE4">
        <w:rPr>
          <w:rFonts w:cstheme="minorHAnsi"/>
        </w:rPr>
        <w:t xml:space="preserve">, the former editor of </w:t>
      </w:r>
      <w:r w:rsidRPr="00EB6BE4">
        <w:rPr>
          <w:rFonts w:cstheme="minorHAnsi"/>
          <w:i/>
        </w:rPr>
        <w:t>The Times</w:t>
      </w:r>
      <w:r w:rsidRPr="00EB6BE4">
        <w:rPr>
          <w:rFonts w:cstheme="minorHAnsi"/>
        </w:rPr>
        <w:t>, was granted standing to challenge the constitutionality of the European Communities Act 1972 simply ‘because of his sincere concern for constitutional issues.’</w:t>
      </w:r>
      <w:r>
        <w:rPr>
          <w:rFonts w:cstheme="minorHAnsi"/>
        </w:rPr>
        <w:t xml:space="preserve"> Lastly, in </w:t>
      </w:r>
      <w:r>
        <w:rPr>
          <w:rFonts w:cstheme="minorHAnsi"/>
          <w:i/>
        </w:rPr>
        <w:t>Walton</w:t>
      </w:r>
      <w:r>
        <w:rPr>
          <w:rFonts w:cstheme="minorHAnsi"/>
        </w:rPr>
        <w:t xml:space="preserve">, the Supreme Court recognised the </w:t>
      </w:r>
      <w:r>
        <w:rPr>
          <w:rFonts w:cstheme="minorHAnsi"/>
        </w:rPr>
        <w:lastRenderedPageBreak/>
        <w:t>appellant’s ‘genuine concern’ on the basis of his long involvement in the issue before the court.</w:t>
      </w:r>
      <w:r>
        <w:rPr>
          <w:rStyle w:val="a7"/>
          <w:rFonts w:cstheme="minorHAnsi"/>
        </w:rPr>
        <w:footnoteReference w:id="17"/>
      </w:r>
      <w:r>
        <w:rPr>
          <w:rFonts w:cstheme="minorHAnsi"/>
        </w:rPr>
        <w:t xml:space="preserve">     </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It is submitted that the applicant in the present proceedings falls plainly within this category and </w:t>
      </w:r>
      <w:proofErr w:type="gramStart"/>
      <w:r w:rsidRPr="00EB6BE4">
        <w:rPr>
          <w:rFonts w:cstheme="minorHAnsi"/>
        </w:rPr>
        <w:t>ought</w:t>
      </w:r>
      <w:proofErr w:type="gramEnd"/>
      <w:r w:rsidRPr="00EB6BE4">
        <w:rPr>
          <w:rFonts w:cstheme="minorHAnsi"/>
        </w:rPr>
        <w:t xml:space="preserve"> therefore be granted standing. The fact that the applicant was established primarily for the purpose of protecting the environment plainly indicates an involvement in environmental affairs in </w:t>
      </w:r>
      <w:r>
        <w:rPr>
          <w:rFonts w:cstheme="minorHAnsi"/>
        </w:rPr>
        <w:t>Buxton</w:t>
      </w:r>
      <w:r w:rsidRPr="00EB6BE4">
        <w:rPr>
          <w:rFonts w:cstheme="minorHAnsi"/>
        </w:rPr>
        <w:t xml:space="preserve">. Similarly, the applicant’s membership base, drawn from </w:t>
      </w:r>
      <w:r>
        <w:rPr>
          <w:rFonts w:cstheme="minorHAnsi"/>
        </w:rPr>
        <w:t>Buxton</w:t>
      </w:r>
      <w:r w:rsidRPr="00EB6BE4">
        <w:rPr>
          <w:rFonts w:cstheme="minorHAnsi"/>
        </w:rPr>
        <w:t xml:space="preserve">-based amphibian spotting moor ramblers, also attests to its sincere concern for these matters. </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Second, where other, potentially more affected claimants are unlikely to bring challenges due to inhibiting factors, such as cost and effort, there is a normative argument for allowing standing to a well-funded organisation of civil society lest the rule of law not be enforced.  More precisely, it is submitted that this normative consideration was explicitly made out to be a significant underlying factor militating in favour of granting the respective claimants standing in </w:t>
      </w:r>
      <w:r w:rsidRPr="00EB6BE4">
        <w:rPr>
          <w:rFonts w:cstheme="minorHAnsi"/>
          <w:i/>
        </w:rPr>
        <w:t>Child Poverty Action Group</w:t>
      </w:r>
      <w:r w:rsidRPr="00EB6BE4">
        <w:rPr>
          <w:rStyle w:val="a7"/>
          <w:rFonts w:cstheme="minorHAnsi"/>
        </w:rPr>
        <w:footnoteReference w:id="18"/>
      </w:r>
      <w:r>
        <w:rPr>
          <w:rFonts w:cstheme="minorHAnsi"/>
          <w:i/>
        </w:rPr>
        <w:t>, World Development Movement</w:t>
      </w:r>
      <w:r w:rsidRPr="00EB6BE4">
        <w:rPr>
          <w:rFonts w:cstheme="minorHAnsi"/>
          <w:i/>
        </w:rPr>
        <w:t xml:space="preserve"> </w:t>
      </w:r>
      <w:r w:rsidRPr="00EB6BE4">
        <w:rPr>
          <w:rFonts w:cstheme="minorHAnsi"/>
        </w:rPr>
        <w:t xml:space="preserve">and </w:t>
      </w:r>
      <w:r w:rsidRPr="00EB6BE4">
        <w:rPr>
          <w:rFonts w:cstheme="minorHAnsi"/>
          <w:i/>
        </w:rPr>
        <w:t>Greenpeace</w:t>
      </w:r>
      <w:r>
        <w:rPr>
          <w:rFonts w:cstheme="minorHAnsi"/>
          <w:i/>
        </w:rPr>
        <w:t xml:space="preserve"> </w:t>
      </w:r>
      <w:r w:rsidRPr="00EB6BE4">
        <w:rPr>
          <w:rFonts w:cstheme="minorHAnsi"/>
          <w:i/>
        </w:rPr>
        <w:t>(no 2)</w:t>
      </w:r>
      <w:r w:rsidRPr="00EB6BE4">
        <w:rPr>
          <w:rFonts w:cstheme="minorHAnsi"/>
        </w:rPr>
        <w:t>.</w:t>
      </w:r>
      <w:r w:rsidRPr="00EB6BE4">
        <w:rPr>
          <w:rStyle w:val="a7"/>
          <w:rFonts w:cstheme="minorHAnsi"/>
        </w:rPr>
        <w:footnoteReference w:id="19"/>
      </w:r>
      <w:r w:rsidRPr="00EB6BE4">
        <w:rPr>
          <w:rFonts w:cstheme="minorHAnsi"/>
        </w:rPr>
        <w:t xml:space="preserve"> In the former case</w:t>
      </w:r>
      <w:r>
        <w:rPr>
          <w:rFonts w:cstheme="minorHAnsi"/>
        </w:rPr>
        <w:t>,</w:t>
      </w:r>
      <w:r w:rsidRPr="00EB6BE4">
        <w:rPr>
          <w:rFonts w:cstheme="minorHAnsi"/>
        </w:rPr>
        <w:t xml:space="preserve"> the fact that the issues raised were ‘not ones which individual claimants for supplementary benefit could be expected to </w:t>
      </w:r>
      <w:proofErr w:type="gramStart"/>
      <w:r w:rsidRPr="00EB6BE4">
        <w:rPr>
          <w:rFonts w:cstheme="minorHAnsi"/>
        </w:rPr>
        <w:t>raise</w:t>
      </w:r>
      <w:proofErr w:type="gramEnd"/>
      <w:r w:rsidRPr="00EB6BE4">
        <w:rPr>
          <w:rFonts w:cstheme="minorHAnsi"/>
        </w:rPr>
        <w:t xml:space="preserve">’ due to financial constrains was the single strongest factor for granting the CPAG standing. Similarly, in </w:t>
      </w:r>
      <w:r w:rsidRPr="00EB6BE4">
        <w:rPr>
          <w:rFonts w:cstheme="minorHAnsi"/>
          <w:i/>
        </w:rPr>
        <w:t>Greenpeace (no. 2)</w:t>
      </w:r>
      <w:r w:rsidRPr="00EB6BE4">
        <w:rPr>
          <w:rFonts w:cstheme="minorHAnsi"/>
        </w:rPr>
        <w:t xml:space="preserve">, that </w:t>
      </w:r>
      <w:r>
        <w:rPr>
          <w:rFonts w:cstheme="minorHAnsi"/>
        </w:rPr>
        <w:t>directly affected</w:t>
      </w:r>
      <w:r w:rsidRPr="00EB6BE4">
        <w:rPr>
          <w:rFonts w:cstheme="minorHAnsi"/>
        </w:rPr>
        <w:t xml:space="preserve"> local residents or employees of </w:t>
      </w:r>
      <w:proofErr w:type="spellStart"/>
      <w:r w:rsidRPr="00EB6BE4">
        <w:rPr>
          <w:rFonts w:cstheme="minorHAnsi"/>
        </w:rPr>
        <w:t>Sellafield</w:t>
      </w:r>
      <w:proofErr w:type="spellEnd"/>
      <w:r w:rsidRPr="00EB6BE4">
        <w:rPr>
          <w:rFonts w:cstheme="minorHAnsi"/>
        </w:rPr>
        <w:t xml:space="preserve"> Nuclear plant</w:t>
      </w:r>
      <w:r>
        <w:rPr>
          <w:rFonts w:cstheme="minorHAnsi"/>
        </w:rPr>
        <w:t xml:space="preserve"> </w:t>
      </w:r>
      <w:r w:rsidRPr="00EB6BE4">
        <w:rPr>
          <w:rFonts w:cstheme="minorHAnsi"/>
        </w:rPr>
        <w:t xml:space="preserve">could have raised the issues being contested did not prevent the claimant from raising them; rather, the fact that they ‘might not have an effective way to bring the issues before the court’   reinforced the strength of the claimant’s case regarding standing. </w:t>
      </w:r>
      <w:r>
        <w:rPr>
          <w:rFonts w:cstheme="minorHAnsi"/>
        </w:rPr>
        <w:t xml:space="preserve"> Finally, in </w:t>
      </w:r>
      <w:r>
        <w:rPr>
          <w:rFonts w:cstheme="minorHAnsi"/>
          <w:i/>
        </w:rPr>
        <w:t>Walton</w:t>
      </w:r>
      <w:r>
        <w:rPr>
          <w:rFonts w:cstheme="minorHAnsi"/>
        </w:rPr>
        <w:t>, Lord Hope allowed for the possibility that an environmental activist might have standing, even where there were more relevant public bodies that could act to protect environmental interests.  In particular, Lord Hope noted that ‘</w:t>
      </w:r>
      <w:bookmarkStart w:id="1" w:name="para153"/>
      <w:r>
        <w:t xml:space="preserve">it is well-known [that such public bodies] do not have the resources to object to every development that might have adverse consequences for the environment. So there has to be some room for individuals who are sufficiently </w:t>
      </w:r>
      <w:proofErr w:type="gramStart"/>
      <w:r>
        <w:t>concerned,</w:t>
      </w:r>
      <w:proofErr w:type="gramEnd"/>
      <w:r>
        <w:t xml:space="preserve"> and sufficiently well-informed, to do this too.</w:t>
      </w:r>
      <w:bookmarkEnd w:id="1"/>
      <w:r>
        <w:t>’</w:t>
      </w:r>
      <w:r>
        <w:rPr>
          <w:rStyle w:val="a7"/>
        </w:rPr>
        <w:footnoteReference w:id="20"/>
      </w:r>
      <w:r>
        <w:rPr>
          <w:rFonts w:cstheme="minorHAnsi"/>
        </w:rPr>
        <w:t xml:space="preserve">    </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lastRenderedPageBreak/>
        <w:t xml:space="preserve">It is submitted, that on the facts as they are before the court, the refusal of the trustees, the only individuals whose rights were directly infringed, to pursue litigation, grounds the aforementioned normative argument. As the trustees are not likely to vindicate the infringement of their private rights, it rests upon the applicant to challenge the public wrong being committed. </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Third, where a public interest organisation can bring extraordinary expertise to the table, this is another factor that should influence its standing to bring an action in the public interest in matters falling within its expertise. In other words, the familiarity and knowledge of the claimant in the matters at hand played a significant role in the determinations of both </w:t>
      </w:r>
      <w:proofErr w:type="spellStart"/>
      <w:r w:rsidRPr="00EB6BE4">
        <w:rPr>
          <w:rFonts w:cstheme="minorHAnsi"/>
        </w:rPr>
        <w:t>Otton</w:t>
      </w:r>
      <w:proofErr w:type="spellEnd"/>
      <w:r w:rsidRPr="00EB6BE4">
        <w:rPr>
          <w:rFonts w:cstheme="minorHAnsi"/>
        </w:rPr>
        <w:t xml:space="preserve"> J in </w:t>
      </w:r>
      <w:r w:rsidRPr="00EB6BE4">
        <w:rPr>
          <w:rFonts w:cstheme="minorHAnsi"/>
          <w:i/>
        </w:rPr>
        <w:t>Greenpeace</w:t>
      </w:r>
      <w:r>
        <w:rPr>
          <w:rFonts w:cstheme="minorHAnsi"/>
          <w:i/>
        </w:rPr>
        <w:t xml:space="preserve"> </w:t>
      </w:r>
      <w:r w:rsidRPr="00EB6BE4">
        <w:rPr>
          <w:rFonts w:cstheme="minorHAnsi"/>
          <w:i/>
        </w:rPr>
        <w:t xml:space="preserve">(no. 2) </w:t>
      </w:r>
      <w:r w:rsidRPr="00EB6BE4">
        <w:rPr>
          <w:rFonts w:cstheme="minorHAnsi"/>
        </w:rPr>
        <w:t xml:space="preserve">and Rose LJ in </w:t>
      </w:r>
      <w:r w:rsidRPr="00EB6BE4">
        <w:rPr>
          <w:rFonts w:cstheme="minorHAnsi"/>
          <w:i/>
        </w:rPr>
        <w:t>World Development Movement</w:t>
      </w:r>
      <w:r w:rsidRPr="00EB6BE4">
        <w:rPr>
          <w:rFonts w:cstheme="minorHAnsi"/>
        </w:rPr>
        <w:t xml:space="preserve">.  The reasoning adopted by </w:t>
      </w:r>
      <w:proofErr w:type="spellStart"/>
      <w:r w:rsidRPr="00EB6BE4">
        <w:rPr>
          <w:rFonts w:cstheme="minorHAnsi"/>
        </w:rPr>
        <w:t>Otton</w:t>
      </w:r>
      <w:proofErr w:type="spellEnd"/>
      <w:r w:rsidRPr="00EB6BE4">
        <w:rPr>
          <w:rFonts w:cstheme="minorHAnsi"/>
        </w:rPr>
        <w:t xml:space="preserve"> J is particularly illuminating; due to </w:t>
      </w:r>
      <w:proofErr w:type="spellStart"/>
      <w:r w:rsidRPr="00EB6BE4">
        <w:rPr>
          <w:rFonts w:cstheme="minorHAnsi"/>
        </w:rPr>
        <w:t>Greenpeace’s</w:t>
      </w:r>
      <w:proofErr w:type="spellEnd"/>
      <w:r w:rsidRPr="00EB6BE4">
        <w:rPr>
          <w:rFonts w:cstheme="minorHAnsi"/>
        </w:rPr>
        <w:t xml:space="preserve"> experience and access to experts in science and law, it would be able to mount carefully selected, focused and well-argued challenge</w:t>
      </w:r>
      <w:r>
        <w:rPr>
          <w:rFonts w:cstheme="minorHAnsi"/>
        </w:rPr>
        <w:t>s</w:t>
      </w:r>
      <w:r w:rsidRPr="00EB6BE4">
        <w:rPr>
          <w:rFonts w:cstheme="minorHAnsi"/>
        </w:rPr>
        <w:t xml:space="preserve">; thus allowing Greenpeace standing would be a more efficient use of the courts resources than to wait for </w:t>
      </w:r>
      <w:proofErr w:type="gramStart"/>
      <w:r w:rsidRPr="00EB6BE4">
        <w:rPr>
          <w:rFonts w:cstheme="minorHAnsi"/>
        </w:rPr>
        <w:t>a  more</w:t>
      </w:r>
      <w:proofErr w:type="gramEnd"/>
      <w:r w:rsidRPr="00EB6BE4">
        <w:rPr>
          <w:rFonts w:cstheme="minorHAnsi"/>
        </w:rPr>
        <w:t xml:space="preserve"> directly affected claimant, lacking those advantages, to bring a challenge.</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It is submitted that, again, the applicant fall</w:t>
      </w:r>
      <w:r>
        <w:rPr>
          <w:rFonts w:cstheme="minorHAnsi"/>
        </w:rPr>
        <w:t>s</w:t>
      </w:r>
      <w:r w:rsidRPr="00EB6BE4">
        <w:rPr>
          <w:rFonts w:cstheme="minorHAnsi"/>
        </w:rPr>
        <w:t xml:space="preserve"> within this category. Its members</w:t>
      </w:r>
      <w:r>
        <w:rPr>
          <w:rFonts w:cstheme="minorHAnsi"/>
        </w:rPr>
        <w:t>’</w:t>
      </w:r>
      <w:r w:rsidRPr="00EB6BE4">
        <w:rPr>
          <w:rFonts w:cstheme="minorHAnsi"/>
        </w:rPr>
        <w:t xml:space="preserve"> moor-rambling and amphibian-spotting habits </w:t>
      </w:r>
      <w:r>
        <w:rPr>
          <w:rFonts w:cstheme="minorHAnsi"/>
        </w:rPr>
        <w:t>suggest</w:t>
      </w:r>
      <w:r w:rsidRPr="00EB6BE4">
        <w:rPr>
          <w:rFonts w:cstheme="minorHAnsi"/>
        </w:rPr>
        <w:t xml:space="preserve"> an intimate </w:t>
      </w:r>
      <w:r>
        <w:rPr>
          <w:rFonts w:cstheme="minorHAnsi"/>
        </w:rPr>
        <w:t>familiarity with</w:t>
      </w:r>
      <w:r w:rsidRPr="00EB6BE4">
        <w:rPr>
          <w:rFonts w:cstheme="minorHAnsi"/>
        </w:rPr>
        <w:t xml:space="preserve"> the environment and biodiversity </w:t>
      </w:r>
      <w:r>
        <w:rPr>
          <w:rFonts w:cstheme="minorHAnsi"/>
        </w:rPr>
        <w:t>of</w:t>
      </w:r>
      <w:r w:rsidRPr="00EB6BE4">
        <w:rPr>
          <w:rFonts w:cstheme="minorHAnsi"/>
        </w:rPr>
        <w:t xml:space="preserve"> the relevant moors. Moreover, given the applicant’s status as a charity for the protection of endangered animals, it is to be presumed that it has detailed knowledge of the relevant environmental protection laws and policies, as was the case with the World Development Movement, the Child Poverty Action Group and Greenpeace in their respective areas of campaigning.</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It is submitted that the above three factors are sufficient to bring the applicant squarely within the rule laid out by the divisional court in </w:t>
      </w:r>
      <w:r w:rsidRPr="00EB6BE4">
        <w:rPr>
          <w:rFonts w:cstheme="minorHAnsi"/>
          <w:i/>
        </w:rPr>
        <w:t>World Development Movement</w:t>
      </w:r>
      <w:r w:rsidRPr="00EB6BE4">
        <w:rPr>
          <w:rFonts w:cstheme="minorHAnsi"/>
        </w:rPr>
        <w:t xml:space="preserve">. However, should the court not be satisfied by this test, it is suggested that due to its broad local membership base, whose moor-rambling, amphibian-spotting activities are directly affected by the disputed decision, the applicant would also </w:t>
      </w:r>
      <w:r>
        <w:rPr>
          <w:rFonts w:cstheme="minorHAnsi"/>
        </w:rPr>
        <w:t>fall</w:t>
      </w:r>
      <w:r w:rsidRPr="00EB6BE4">
        <w:rPr>
          <w:rFonts w:cstheme="minorHAnsi"/>
        </w:rPr>
        <w:t xml:space="preserve"> squarely </w:t>
      </w:r>
      <w:r>
        <w:rPr>
          <w:rFonts w:cstheme="minorHAnsi"/>
        </w:rPr>
        <w:t>within</w:t>
      </w:r>
      <w:r w:rsidRPr="00EB6BE4">
        <w:rPr>
          <w:rFonts w:cstheme="minorHAnsi"/>
        </w:rPr>
        <w:t xml:space="preserve"> the </w:t>
      </w:r>
      <w:r>
        <w:rPr>
          <w:rFonts w:cstheme="minorHAnsi"/>
        </w:rPr>
        <w:t>basis of standing recognised</w:t>
      </w:r>
      <w:r w:rsidRPr="00EB6BE4">
        <w:rPr>
          <w:rFonts w:cstheme="minorHAnsi"/>
        </w:rPr>
        <w:t xml:space="preserve"> in </w:t>
      </w:r>
      <w:r w:rsidRPr="00EB6BE4">
        <w:rPr>
          <w:rFonts w:cstheme="minorHAnsi"/>
          <w:i/>
        </w:rPr>
        <w:t>Greenpeace</w:t>
      </w:r>
      <w:r>
        <w:rPr>
          <w:rFonts w:cstheme="minorHAnsi"/>
        </w:rPr>
        <w:t xml:space="preserve">; it is recalled that, in </w:t>
      </w:r>
      <w:r>
        <w:rPr>
          <w:rFonts w:cstheme="minorHAnsi"/>
          <w:i/>
        </w:rPr>
        <w:t xml:space="preserve">Greenpeace, </w:t>
      </w:r>
      <w:proofErr w:type="spellStart"/>
      <w:r>
        <w:rPr>
          <w:rFonts w:cstheme="minorHAnsi"/>
        </w:rPr>
        <w:t>Otton</w:t>
      </w:r>
      <w:proofErr w:type="spellEnd"/>
      <w:r>
        <w:rPr>
          <w:rFonts w:cstheme="minorHAnsi"/>
        </w:rPr>
        <w:t xml:space="preserve"> J considered both the above factors and the fact that Greenpeace had members in Cumbria who would be especially affected by the operations of the proposed nuclear waste processing facility at </w:t>
      </w:r>
      <w:proofErr w:type="spellStart"/>
      <w:r>
        <w:rPr>
          <w:rFonts w:cstheme="minorHAnsi"/>
        </w:rPr>
        <w:t>Sellafield</w:t>
      </w:r>
      <w:proofErr w:type="spellEnd"/>
      <w:r>
        <w:rPr>
          <w:rFonts w:cstheme="minorHAnsi"/>
        </w:rPr>
        <w:t xml:space="preserve">. </w:t>
      </w:r>
    </w:p>
    <w:p w:rsidR="007867B3" w:rsidRPr="00EB6BE4" w:rsidRDefault="007867B3" w:rsidP="007867B3">
      <w:pPr>
        <w:spacing w:line="360" w:lineRule="auto"/>
        <w:jc w:val="both"/>
        <w:rPr>
          <w:rFonts w:cstheme="minorHAnsi"/>
        </w:rPr>
      </w:pPr>
    </w:p>
    <w:p w:rsidR="007867B3" w:rsidRPr="00A30143" w:rsidRDefault="007867B3" w:rsidP="007867B3">
      <w:pPr>
        <w:pStyle w:val="1"/>
        <w:rPr>
          <w:i/>
        </w:rPr>
      </w:pPr>
      <w:r w:rsidRPr="00A30143">
        <w:rPr>
          <w:i/>
        </w:rPr>
        <w:t>Bona Fide</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It will be recalled that: </w:t>
      </w:r>
    </w:p>
    <w:p w:rsidR="007867B3" w:rsidRDefault="007867B3" w:rsidP="007867B3">
      <w:pPr>
        <w:pStyle w:val="a3"/>
        <w:spacing w:after="200"/>
        <w:ind w:left="1134" w:right="929"/>
        <w:contextualSpacing w:val="0"/>
        <w:jc w:val="both"/>
        <w:rPr>
          <w:rFonts w:cstheme="minorHAnsi"/>
        </w:rPr>
      </w:pPr>
      <w:proofErr w:type="spellStart"/>
      <w:r w:rsidRPr="00EB6BE4">
        <w:rPr>
          <w:rFonts w:cstheme="minorHAnsi"/>
        </w:rPr>
        <w:t>SuperBus</w:t>
      </w:r>
      <w:proofErr w:type="spellEnd"/>
      <w:r w:rsidRPr="00EB6BE4">
        <w:rPr>
          <w:rFonts w:cstheme="minorHAnsi"/>
        </w:rPr>
        <w:t xml:space="preserve"> PLC, a bus company that operates routes from London to Manchester, heard about the Alliance’s plan to start a judicial review and offered to subsidise half of the litigation costs. Although the Alliance was confident of being able to finance the litigation by using its savings and by getting donations, it decided to accept </w:t>
      </w:r>
      <w:proofErr w:type="spellStart"/>
      <w:r w:rsidRPr="00EB6BE4">
        <w:rPr>
          <w:rFonts w:cstheme="minorHAnsi"/>
        </w:rPr>
        <w:t>SuperBus</w:t>
      </w:r>
      <w:proofErr w:type="spellEnd"/>
      <w:r w:rsidRPr="00EB6BE4">
        <w:rPr>
          <w:rFonts w:cstheme="minorHAnsi"/>
        </w:rPr>
        <w:t xml:space="preserve"> PLC’s offer as it reasoned that it could keep its savings for other purposes.</w:t>
      </w:r>
      <w:r w:rsidRPr="00EB6BE4">
        <w:rPr>
          <w:rFonts w:cstheme="minorHAnsi"/>
        </w:rPr>
        <w:br/>
      </w:r>
    </w:p>
    <w:p w:rsidR="007867B3" w:rsidRPr="00EB6BE4" w:rsidRDefault="007867B3" w:rsidP="007867B3">
      <w:pPr>
        <w:pStyle w:val="a3"/>
        <w:spacing w:after="200" w:line="360" w:lineRule="auto"/>
        <w:ind w:left="0"/>
        <w:contextualSpacing w:val="0"/>
        <w:jc w:val="both"/>
        <w:rPr>
          <w:rFonts w:cstheme="minorHAnsi"/>
        </w:rPr>
      </w:pPr>
      <w:r w:rsidRPr="00EB6BE4">
        <w:rPr>
          <w:rFonts w:cstheme="minorHAnsi"/>
        </w:rPr>
        <w:t xml:space="preserve">Whilst it is accepted that there are some </w:t>
      </w:r>
      <w:r w:rsidRPr="006876B9">
        <w:rPr>
          <w:rFonts w:cstheme="minorHAnsi"/>
        </w:rPr>
        <w:t>dicta</w:t>
      </w:r>
      <w:r w:rsidRPr="00EB6BE4">
        <w:rPr>
          <w:rFonts w:cstheme="minorHAnsi"/>
        </w:rPr>
        <w:t xml:space="preserve"> to suggest that some level of good faith may indeed be relevant in granting standing, it is submitted that the threshold for bad faith as it is considered in the cases is very high, and that the applicant, in accepting funding, do not pass that threshold.</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Pr>
          <w:rFonts w:cstheme="minorHAnsi"/>
        </w:rPr>
        <w:t>A requirement of good</w:t>
      </w:r>
      <w:r w:rsidRPr="00EB6BE4">
        <w:rPr>
          <w:rFonts w:cstheme="minorHAnsi"/>
        </w:rPr>
        <w:t xml:space="preserve"> faith </w:t>
      </w:r>
      <w:r>
        <w:rPr>
          <w:rFonts w:cstheme="minorHAnsi"/>
        </w:rPr>
        <w:t>in</w:t>
      </w:r>
      <w:r w:rsidRPr="00EB6BE4">
        <w:rPr>
          <w:rFonts w:cstheme="minorHAnsi"/>
        </w:rPr>
        <w:t xml:space="preserve"> relation to standing </w:t>
      </w:r>
      <w:r>
        <w:rPr>
          <w:rFonts w:cstheme="minorHAnsi"/>
        </w:rPr>
        <w:t>can be found</w:t>
      </w:r>
      <w:r w:rsidRPr="00EB6BE4">
        <w:rPr>
          <w:rFonts w:cstheme="minorHAnsi"/>
        </w:rPr>
        <w:t xml:space="preserve"> in some dicta of </w:t>
      </w:r>
      <w:proofErr w:type="spellStart"/>
      <w:r w:rsidRPr="00EB6BE4">
        <w:rPr>
          <w:rFonts w:cstheme="minorHAnsi"/>
        </w:rPr>
        <w:t>Sedley</w:t>
      </w:r>
      <w:proofErr w:type="spellEnd"/>
      <w:r w:rsidRPr="00EB6BE4">
        <w:rPr>
          <w:rFonts w:cstheme="minorHAnsi"/>
        </w:rPr>
        <w:t xml:space="preserve"> J</w:t>
      </w:r>
      <w:r w:rsidRPr="00EB6BE4">
        <w:rPr>
          <w:rFonts w:cstheme="minorHAnsi"/>
          <w:i/>
        </w:rPr>
        <w:t xml:space="preserve"> </w:t>
      </w:r>
      <w:r w:rsidRPr="00EB6BE4">
        <w:rPr>
          <w:rFonts w:cstheme="minorHAnsi"/>
        </w:rPr>
        <w:t xml:space="preserve">in </w:t>
      </w:r>
      <w:r w:rsidRPr="00EB6BE4">
        <w:rPr>
          <w:rFonts w:cstheme="minorHAnsi"/>
          <w:i/>
        </w:rPr>
        <w:t>Dixon</w:t>
      </w:r>
      <w:r w:rsidRPr="00EB6BE4">
        <w:rPr>
          <w:rFonts w:cstheme="minorHAnsi"/>
        </w:rPr>
        <w:t xml:space="preserve">. </w:t>
      </w:r>
      <w:proofErr w:type="spellStart"/>
      <w:r w:rsidRPr="00EB6BE4">
        <w:rPr>
          <w:rFonts w:cstheme="minorHAnsi"/>
        </w:rPr>
        <w:t>Sedley</w:t>
      </w:r>
      <w:proofErr w:type="spellEnd"/>
      <w:r w:rsidRPr="00EB6BE4">
        <w:rPr>
          <w:rFonts w:cstheme="minorHAnsi"/>
        </w:rPr>
        <w:t xml:space="preserve"> J </w:t>
      </w:r>
      <w:r>
        <w:rPr>
          <w:rFonts w:cstheme="minorHAnsi"/>
        </w:rPr>
        <w:t>considered</w:t>
      </w:r>
      <w:r w:rsidRPr="00EB6BE4">
        <w:rPr>
          <w:rFonts w:cstheme="minorHAnsi"/>
        </w:rPr>
        <w:t xml:space="preserve"> a claimant</w:t>
      </w:r>
      <w:r>
        <w:rPr>
          <w:rFonts w:cstheme="minorHAnsi"/>
        </w:rPr>
        <w:t>’s</w:t>
      </w:r>
      <w:r w:rsidRPr="00EB6BE4">
        <w:rPr>
          <w:rFonts w:cstheme="minorHAnsi"/>
        </w:rPr>
        <w:t xml:space="preserve"> bringing a claim for an ‘ill-motive’ as a far</w:t>
      </w:r>
      <w:r>
        <w:rPr>
          <w:rFonts w:cstheme="minorHAnsi"/>
        </w:rPr>
        <w:t>-</w:t>
      </w:r>
      <w:r w:rsidRPr="00EB6BE4">
        <w:rPr>
          <w:rFonts w:cstheme="minorHAnsi"/>
        </w:rPr>
        <w:t xml:space="preserve">fetched example to underline the strength of allowing Mr Dixon to bring a claim in the public interest. </w:t>
      </w:r>
      <w:r>
        <w:rPr>
          <w:rFonts w:cstheme="minorHAnsi"/>
        </w:rPr>
        <w:t>E</w:t>
      </w:r>
      <w:r w:rsidRPr="00EB6BE4">
        <w:rPr>
          <w:rFonts w:cstheme="minorHAnsi"/>
        </w:rPr>
        <w:t>vidence of what he considered</w:t>
      </w:r>
      <w:r>
        <w:rPr>
          <w:rFonts w:cstheme="minorHAnsi"/>
        </w:rPr>
        <w:t xml:space="preserve"> to be an ill-motive</w:t>
      </w:r>
      <w:r w:rsidRPr="00EB6BE4">
        <w:rPr>
          <w:rFonts w:cstheme="minorHAnsi"/>
        </w:rPr>
        <w:t xml:space="preserve"> can be gleaned from </w:t>
      </w:r>
      <w:r>
        <w:rPr>
          <w:rFonts w:cstheme="minorHAnsi"/>
        </w:rPr>
        <w:t xml:space="preserve">his approval of Rose LJ’s approach in this matter. In </w:t>
      </w:r>
      <w:r>
        <w:rPr>
          <w:rFonts w:cstheme="minorHAnsi"/>
          <w:i/>
        </w:rPr>
        <w:t>World Development Movement</w:t>
      </w:r>
      <w:r w:rsidRPr="00EB6BE4">
        <w:rPr>
          <w:rFonts w:cstheme="minorHAnsi"/>
        </w:rPr>
        <w:t xml:space="preserve">, </w:t>
      </w:r>
      <w:r>
        <w:rPr>
          <w:rFonts w:cstheme="minorHAnsi"/>
        </w:rPr>
        <w:t>Rose LJ</w:t>
      </w:r>
      <w:r w:rsidRPr="00EB6BE4">
        <w:rPr>
          <w:rFonts w:cstheme="minorHAnsi"/>
        </w:rPr>
        <w:t xml:space="preserve"> relied on the case of </w:t>
      </w:r>
      <w:r w:rsidRPr="00EB6BE4">
        <w:rPr>
          <w:rFonts w:cstheme="minorHAnsi"/>
          <w:i/>
        </w:rPr>
        <w:t>R v Brown</w:t>
      </w:r>
      <w:r w:rsidRPr="00EB6BE4">
        <w:rPr>
          <w:rFonts w:cstheme="minorHAnsi"/>
        </w:rPr>
        <w:t>,</w:t>
      </w:r>
      <w:r w:rsidRPr="00EB6BE4">
        <w:rPr>
          <w:rStyle w:val="a7"/>
          <w:rFonts w:cstheme="minorHAnsi"/>
        </w:rPr>
        <w:footnoteReference w:id="21"/>
      </w:r>
      <w:r w:rsidRPr="00EB6BE4">
        <w:rPr>
          <w:rFonts w:cstheme="minorHAnsi"/>
        </w:rPr>
        <w:t xml:space="preserve"> to make sure that ‘the </w:t>
      </w:r>
      <w:r>
        <w:rPr>
          <w:rFonts w:cstheme="minorHAnsi"/>
        </w:rPr>
        <w:t>applicatio</w:t>
      </w:r>
      <w:r w:rsidRPr="00EB6BE4">
        <w:rPr>
          <w:rFonts w:cstheme="minorHAnsi"/>
        </w:rPr>
        <w:t xml:space="preserve">n was not made merely to disturb the local peace of </w:t>
      </w:r>
      <w:proofErr w:type="gramStart"/>
      <w:r w:rsidRPr="00EB6BE4">
        <w:rPr>
          <w:rFonts w:cstheme="minorHAnsi"/>
        </w:rPr>
        <w:t>corporations[</w:t>
      </w:r>
      <w:proofErr w:type="gramEnd"/>
      <w:r w:rsidRPr="00EB6BE4">
        <w:rPr>
          <w:rFonts w:cstheme="minorHAnsi"/>
        </w:rPr>
        <w:t xml:space="preserve">.]” It is submitted that this shows that </w:t>
      </w:r>
      <w:proofErr w:type="spellStart"/>
      <w:r w:rsidRPr="00EB6BE4">
        <w:rPr>
          <w:rFonts w:cstheme="minorHAnsi"/>
        </w:rPr>
        <w:t>Sedley</w:t>
      </w:r>
      <w:proofErr w:type="spellEnd"/>
      <w:r w:rsidRPr="00EB6BE4">
        <w:rPr>
          <w:rFonts w:cstheme="minorHAnsi"/>
        </w:rPr>
        <w:t xml:space="preserve"> J’s remark regarding an improper or ill</w:t>
      </w:r>
      <w:r>
        <w:rPr>
          <w:rFonts w:cstheme="minorHAnsi"/>
        </w:rPr>
        <w:t>-</w:t>
      </w:r>
      <w:r w:rsidRPr="00EB6BE4">
        <w:rPr>
          <w:rFonts w:cstheme="minorHAnsi"/>
        </w:rPr>
        <w:t>motive would go only to the most malicious intent and do</w:t>
      </w:r>
      <w:r>
        <w:rPr>
          <w:rFonts w:cstheme="minorHAnsi"/>
        </w:rPr>
        <w:t>es</w:t>
      </w:r>
      <w:r w:rsidRPr="00EB6BE4">
        <w:rPr>
          <w:rFonts w:cstheme="minorHAnsi"/>
        </w:rPr>
        <w:t xml:space="preserve"> not cover the present case of merely having received some financial support in bringing a challenge which is otherwise meritorious and clearly in the public interest. </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In </w:t>
      </w:r>
      <w:proofErr w:type="spellStart"/>
      <w:r w:rsidRPr="00EB6BE4">
        <w:rPr>
          <w:rFonts w:cstheme="minorHAnsi"/>
          <w:i/>
        </w:rPr>
        <w:t>Feakins</w:t>
      </w:r>
      <w:proofErr w:type="spellEnd"/>
      <w:r w:rsidRPr="00EB6BE4">
        <w:rPr>
          <w:rFonts w:cstheme="minorHAnsi"/>
        </w:rPr>
        <w:t>,</w:t>
      </w:r>
      <w:r w:rsidRPr="00EB6BE4">
        <w:rPr>
          <w:rStyle w:val="a7"/>
          <w:rFonts w:cstheme="minorHAnsi"/>
        </w:rPr>
        <w:footnoteReference w:id="22"/>
      </w:r>
      <w:r w:rsidRPr="00EB6BE4">
        <w:rPr>
          <w:rFonts w:cstheme="minorHAnsi"/>
        </w:rPr>
        <w:t xml:space="preserve"> Dyson LJ quoted </w:t>
      </w:r>
      <w:proofErr w:type="spellStart"/>
      <w:r w:rsidRPr="00EB6BE4">
        <w:rPr>
          <w:rFonts w:cstheme="minorHAnsi"/>
        </w:rPr>
        <w:t>Sedley</w:t>
      </w:r>
      <w:proofErr w:type="spellEnd"/>
      <w:r w:rsidRPr="00EB6BE4">
        <w:rPr>
          <w:rFonts w:cstheme="minorHAnsi"/>
        </w:rPr>
        <w:t xml:space="preserve"> J’s dictum and went on to consider at some length whether it applied to the facts before him. However, before examining the facts, </w:t>
      </w:r>
      <w:r w:rsidRPr="00EB6BE4">
        <w:rPr>
          <w:rFonts w:cstheme="minorHAnsi"/>
        </w:rPr>
        <w:lastRenderedPageBreak/>
        <w:t xml:space="preserve">his lordship highlighted the extraordinary nature of finding mala fides at the standing stage, by reference to a dictum of Auld LJ in </w:t>
      </w:r>
      <w:r w:rsidRPr="00EB6BE4">
        <w:rPr>
          <w:rFonts w:cstheme="minorHAnsi"/>
          <w:i/>
        </w:rPr>
        <w:t>Mount Cook Land Limited</w:t>
      </w:r>
      <w:r w:rsidRPr="00EB6BE4">
        <w:rPr>
          <w:rStyle w:val="a7"/>
          <w:rFonts w:cstheme="minorHAnsi"/>
        </w:rPr>
        <w:footnoteReference w:id="23"/>
      </w:r>
      <w:r w:rsidRPr="00EB6BE4">
        <w:rPr>
          <w:rFonts w:cstheme="minorHAnsi"/>
        </w:rPr>
        <w:t xml:space="preserve"> which is set out at some length below:</w:t>
      </w:r>
    </w:p>
    <w:p w:rsidR="007867B3" w:rsidRPr="00EB6BE4" w:rsidRDefault="007867B3" w:rsidP="007867B3">
      <w:pPr>
        <w:spacing w:after="200"/>
        <w:ind w:left="1134" w:right="929"/>
        <w:jc w:val="both"/>
        <w:rPr>
          <w:rFonts w:cstheme="minorHAnsi"/>
        </w:rPr>
      </w:pPr>
      <w:r w:rsidRPr="00EB6BE4">
        <w:rPr>
          <w:rFonts w:cstheme="minorHAnsi"/>
        </w:rPr>
        <w:t>I do not say that considerations of a claimant's motive in claiming judicial review could never be relevant to a court's decision whether to refuse relief in its discretion, for example, where the pursuance of the motive in question goes so far beyond the advancement of a collateral purpose as to amount to an abuse of process. The court should, at the very least, be slow to have recourse to that species of conduct as a basis for discretionary refusal of relief</w:t>
      </w:r>
      <w:r>
        <w:rPr>
          <w:rFonts w:cstheme="minorHAnsi"/>
        </w:rPr>
        <w:t>.</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When looking at the facts of </w:t>
      </w:r>
      <w:proofErr w:type="spellStart"/>
      <w:r w:rsidRPr="00EB6BE4">
        <w:rPr>
          <w:rFonts w:cstheme="minorHAnsi"/>
          <w:i/>
        </w:rPr>
        <w:t>Feakins</w:t>
      </w:r>
      <w:proofErr w:type="spellEnd"/>
      <w:r w:rsidRPr="00EB6BE4">
        <w:rPr>
          <w:rFonts w:cstheme="minorHAnsi"/>
        </w:rPr>
        <w:t xml:space="preserve">, it is submitted that </w:t>
      </w:r>
      <w:r>
        <w:rPr>
          <w:rFonts w:cstheme="minorHAnsi"/>
        </w:rPr>
        <w:t xml:space="preserve">Dyson LJ </w:t>
      </w:r>
      <w:r w:rsidRPr="00EB6BE4">
        <w:rPr>
          <w:rFonts w:cstheme="minorHAnsi"/>
        </w:rPr>
        <w:t xml:space="preserve">must have </w:t>
      </w:r>
      <w:r>
        <w:rPr>
          <w:rFonts w:cstheme="minorHAnsi"/>
        </w:rPr>
        <w:t xml:space="preserve">had </w:t>
      </w:r>
      <w:r w:rsidRPr="00EB6BE4">
        <w:rPr>
          <w:rFonts w:cstheme="minorHAnsi"/>
        </w:rPr>
        <w:t xml:space="preserve">these dicta at the forefront of his mind. In spite of some rather strong evidence that Mr </w:t>
      </w:r>
      <w:proofErr w:type="spellStart"/>
      <w:r w:rsidRPr="00EB6BE4">
        <w:rPr>
          <w:rFonts w:cstheme="minorHAnsi"/>
        </w:rPr>
        <w:t>Feakins</w:t>
      </w:r>
      <w:proofErr w:type="spellEnd"/>
      <w:r w:rsidRPr="00EB6BE4">
        <w:rPr>
          <w:rFonts w:cstheme="minorHAnsi"/>
        </w:rPr>
        <w:t xml:space="preserve"> had initially brought the judicial review action in expectation of substantial compensation, he was nonetheless granted standing. Whilst it could be gleaned from certain facts, </w:t>
      </w:r>
      <w:r>
        <w:rPr>
          <w:rFonts w:cstheme="minorHAnsi"/>
        </w:rPr>
        <w:t xml:space="preserve">including an early letter sent by Mr </w:t>
      </w:r>
      <w:proofErr w:type="spellStart"/>
      <w:r>
        <w:rPr>
          <w:rFonts w:cstheme="minorHAnsi"/>
        </w:rPr>
        <w:t>Feakins</w:t>
      </w:r>
      <w:proofErr w:type="spellEnd"/>
      <w:r w:rsidRPr="00EB6BE4">
        <w:rPr>
          <w:rFonts w:cstheme="minorHAnsi"/>
        </w:rPr>
        <w:t xml:space="preserve">, that this might have been part of his motivation, his continued litigation in the face of significant costs for him was taken as indication that material advantage was not “the claimant's </w:t>
      </w:r>
      <w:r w:rsidRPr="00EB6BE4">
        <w:rPr>
          <w:rFonts w:cstheme="minorHAnsi"/>
          <w:i/>
        </w:rPr>
        <w:t>sole, or even principal, motive</w:t>
      </w:r>
      <w:r w:rsidRPr="00EB6BE4">
        <w:rPr>
          <w:rFonts w:cstheme="minorHAnsi"/>
        </w:rPr>
        <w:t xml:space="preserve"> in making the application” [emphasis</w:t>
      </w:r>
      <w:r>
        <w:rPr>
          <w:rFonts w:cstheme="minorHAnsi"/>
        </w:rPr>
        <w:t xml:space="preserve"> added</w:t>
      </w:r>
      <w:r w:rsidRPr="00EB6BE4">
        <w:rPr>
          <w:rFonts w:cstheme="minorHAnsi"/>
        </w:rPr>
        <w:t xml:space="preserve">]. </w:t>
      </w:r>
      <w:r>
        <w:rPr>
          <w:rFonts w:cstheme="minorHAnsi"/>
        </w:rPr>
        <w:t xml:space="preserve">Thus, </w:t>
      </w:r>
      <w:r w:rsidRPr="00EB6BE4">
        <w:rPr>
          <w:rFonts w:cstheme="minorHAnsi"/>
        </w:rPr>
        <w:t xml:space="preserve">Dyson LJ’s decision regarding the claimant’s motive in </w:t>
      </w:r>
      <w:proofErr w:type="spellStart"/>
      <w:r w:rsidRPr="00EB6BE4">
        <w:rPr>
          <w:rFonts w:cstheme="minorHAnsi"/>
          <w:i/>
        </w:rPr>
        <w:t>Feakins</w:t>
      </w:r>
      <w:proofErr w:type="spellEnd"/>
      <w:r w:rsidRPr="00EB6BE4">
        <w:rPr>
          <w:rFonts w:cstheme="minorHAnsi"/>
          <w:i/>
        </w:rPr>
        <w:t xml:space="preserve"> </w:t>
      </w:r>
      <w:r w:rsidRPr="00EB6BE4">
        <w:rPr>
          <w:rFonts w:cstheme="minorHAnsi"/>
        </w:rPr>
        <w:t xml:space="preserve">demonstrates that the fact that </w:t>
      </w:r>
      <w:r>
        <w:rPr>
          <w:rFonts w:cstheme="minorHAnsi"/>
        </w:rPr>
        <w:t xml:space="preserve">a claimant bringing a challenge for </w:t>
      </w:r>
      <w:r w:rsidRPr="00EB6BE4">
        <w:rPr>
          <w:rFonts w:cstheme="minorHAnsi"/>
        </w:rPr>
        <w:t xml:space="preserve">public-spirited motives may </w:t>
      </w:r>
      <w:r>
        <w:rPr>
          <w:rFonts w:cstheme="minorHAnsi"/>
        </w:rPr>
        <w:t xml:space="preserve">also have a financial incentive for bringing the challenge </w:t>
      </w:r>
      <w:r w:rsidRPr="00EB6BE4">
        <w:rPr>
          <w:rFonts w:cstheme="minorHAnsi"/>
        </w:rPr>
        <w:t xml:space="preserve">is insufficient to refuse an otherwise meritorious challenger standing. </w:t>
      </w:r>
    </w:p>
    <w:p w:rsidR="007867B3"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It is submitted that if Mr </w:t>
      </w:r>
      <w:proofErr w:type="spellStart"/>
      <w:r w:rsidRPr="00EB6BE4">
        <w:rPr>
          <w:rFonts w:cstheme="minorHAnsi"/>
        </w:rPr>
        <w:t>Feakins</w:t>
      </w:r>
      <w:proofErr w:type="spellEnd"/>
      <w:r w:rsidRPr="00EB6BE4">
        <w:rPr>
          <w:rFonts w:cstheme="minorHAnsi"/>
        </w:rPr>
        <w:t xml:space="preserve"> was not found to have an improper motive for bringing what was essentially a challenge in the public interest, then, </w:t>
      </w:r>
      <w:r w:rsidRPr="00EB6BE4">
        <w:rPr>
          <w:rFonts w:cstheme="minorHAnsi"/>
          <w:i/>
        </w:rPr>
        <w:t>a fortiori</w:t>
      </w:r>
      <w:r w:rsidRPr="00EB6BE4">
        <w:rPr>
          <w:rFonts w:cstheme="minorHAnsi"/>
        </w:rPr>
        <w:t xml:space="preserve">, the applicant in the present </w:t>
      </w:r>
      <w:r>
        <w:rPr>
          <w:rFonts w:cstheme="minorHAnsi"/>
        </w:rPr>
        <w:t xml:space="preserve">case </w:t>
      </w:r>
      <w:r w:rsidRPr="00EB6BE4">
        <w:rPr>
          <w:rFonts w:cstheme="minorHAnsi"/>
        </w:rPr>
        <w:t xml:space="preserve">cannot be found to have an improper motive either. Whilst Mr </w:t>
      </w:r>
      <w:proofErr w:type="spellStart"/>
      <w:r w:rsidRPr="00EB6BE4">
        <w:rPr>
          <w:rFonts w:cstheme="minorHAnsi"/>
        </w:rPr>
        <w:t>Feakins</w:t>
      </w:r>
      <w:proofErr w:type="spellEnd"/>
      <w:r w:rsidRPr="00EB6BE4">
        <w:rPr>
          <w:rFonts w:cstheme="minorHAnsi"/>
        </w:rPr>
        <w:t xml:space="preserve"> could hope for some direct financial reward from the outcome of the litigation, the only relevant consideration for the applicant is the reduced costs of bringing the challenge due to </w:t>
      </w:r>
      <w:proofErr w:type="spellStart"/>
      <w:r w:rsidRPr="00EB6BE4">
        <w:rPr>
          <w:rFonts w:cstheme="minorHAnsi"/>
        </w:rPr>
        <w:t>SuperBus</w:t>
      </w:r>
      <w:proofErr w:type="spellEnd"/>
      <w:r w:rsidRPr="00EB6BE4">
        <w:rPr>
          <w:rFonts w:cstheme="minorHAnsi"/>
        </w:rPr>
        <w:t xml:space="preserve"> financial support. Of course, the respondent may wish to argue that </w:t>
      </w:r>
      <w:proofErr w:type="spellStart"/>
      <w:r w:rsidRPr="00EB6BE4">
        <w:rPr>
          <w:rFonts w:cstheme="minorHAnsi"/>
        </w:rPr>
        <w:t>SuperBus</w:t>
      </w:r>
      <w:proofErr w:type="spellEnd"/>
      <w:r w:rsidRPr="00EB6BE4">
        <w:rPr>
          <w:rFonts w:cstheme="minorHAnsi"/>
        </w:rPr>
        <w:t xml:space="preserve"> support</w:t>
      </w:r>
      <w:r>
        <w:rPr>
          <w:rFonts w:cstheme="minorHAnsi"/>
        </w:rPr>
        <w:t xml:space="preserve"> </w:t>
      </w:r>
      <w:r w:rsidRPr="00EB6BE4">
        <w:rPr>
          <w:rFonts w:cstheme="minorHAnsi"/>
        </w:rPr>
        <w:t xml:space="preserve">of the applicant’s action, which it is conceded may be motivated by commercial considerations, taints </w:t>
      </w:r>
      <w:r>
        <w:rPr>
          <w:rFonts w:cstheme="minorHAnsi"/>
        </w:rPr>
        <w:t>the applicant’s</w:t>
      </w:r>
      <w:r w:rsidRPr="00EB6BE4">
        <w:rPr>
          <w:rFonts w:cstheme="minorHAnsi"/>
        </w:rPr>
        <w:t xml:space="preserve"> action. That argument is rather moot as the applicant would have brought </w:t>
      </w:r>
      <w:r>
        <w:rPr>
          <w:rFonts w:cstheme="minorHAnsi"/>
        </w:rPr>
        <w:t xml:space="preserve">its </w:t>
      </w:r>
      <w:r w:rsidRPr="00EB6BE4">
        <w:rPr>
          <w:rFonts w:cstheme="minorHAnsi"/>
        </w:rPr>
        <w:t xml:space="preserve">challenge of the disputed decision, on the very same grounds, regardless of that support. Thus, it is </w:t>
      </w:r>
      <w:r w:rsidRPr="00EB6BE4">
        <w:rPr>
          <w:rFonts w:cstheme="minorHAnsi"/>
        </w:rPr>
        <w:lastRenderedPageBreak/>
        <w:t xml:space="preserve">submitted that the applicant’s standing is in no way affected by the litigation funding received from </w:t>
      </w:r>
      <w:proofErr w:type="spellStart"/>
      <w:r w:rsidRPr="00EB6BE4">
        <w:rPr>
          <w:rFonts w:cstheme="minorHAnsi"/>
        </w:rPr>
        <w:t>SuperBus</w:t>
      </w:r>
      <w:proofErr w:type="spellEnd"/>
      <w:r w:rsidRPr="00EB6BE4">
        <w:rPr>
          <w:rFonts w:cstheme="minorHAnsi"/>
        </w:rPr>
        <w:t xml:space="preserve">. </w:t>
      </w:r>
    </w:p>
    <w:p w:rsidR="007867B3" w:rsidRPr="00EB6BE4" w:rsidRDefault="007867B3" w:rsidP="007867B3">
      <w:pPr>
        <w:pStyle w:val="a3"/>
        <w:spacing w:after="200" w:line="360" w:lineRule="auto"/>
        <w:ind w:left="0"/>
        <w:contextualSpacing w:val="0"/>
        <w:jc w:val="both"/>
        <w:rPr>
          <w:rFonts w:cstheme="minorHAnsi"/>
        </w:rPr>
      </w:pPr>
    </w:p>
    <w:p w:rsidR="007867B3" w:rsidRDefault="007867B3" w:rsidP="007867B3">
      <w:pPr>
        <w:pStyle w:val="1"/>
      </w:pPr>
      <w:r>
        <w:t xml:space="preserve">C. </w:t>
      </w:r>
      <w:r w:rsidRPr="00EB6BE4">
        <w:t>Freedom of information</w:t>
      </w:r>
    </w:p>
    <w:p w:rsidR="007867B3" w:rsidRPr="00350980" w:rsidRDefault="007867B3" w:rsidP="007867B3"/>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In 2000, the government introduced legislation to fundamentally alter the standard of transparency applicable to public administration in the United Kingdom. The white paper introducing the reforms, appropriately titled </w:t>
      </w:r>
      <w:r w:rsidRPr="00EB6BE4">
        <w:rPr>
          <w:rFonts w:cstheme="minorHAnsi"/>
          <w:i/>
        </w:rPr>
        <w:t>Your Right to Know</w:t>
      </w:r>
      <w:r w:rsidRPr="00EB6BE4">
        <w:rPr>
          <w:rFonts w:cstheme="minorHAnsi"/>
        </w:rPr>
        <w:t>,</w:t>
      </w:r>
      <w:r w:rsidRPr="00EB6BE4">
        <w:rPr>
          <w:rStyle w:val="a7"/>
          <w:rFonts w:cstheme="minorHAnsi"/>
        </w:rPr>
        <w:footnoteReference w:id="24"/>
      </w:r>
      <w:r w:rsidRPr="00EB6BE4">
        <w:rPr>
          <w:rFonts w:cstheme="minorHAnsi"/>
          <w:i/>
        </w:rPr>
        <w:t xml:space="preserve"> </w:t>
      </w:r>
      <w:r w:rsidRPr="00EB6BE4">
        <w:rPr>
          <w:rFonts w:cstheme="minorHAnsi"/>
        </w:rPr>
        <w:t>pledged that ‘[t]he traditional culture of secrecy w[</w:t>
      </w:r>
      <w:proofErr w:type="spellStart"/>
      <w:r w:rsidRPr="00EB6BE4">
        <w:rPr>
          <w:rFonts w:cstheme="minorHAnsi"/>
        </w:rPr>
        <w:t>ould</w:t>
      </w:r>
      <w:proofErr w:type="spellEnd"/>
      <w:r w:rsidRPr="00EB6BE4">
        <w:rPr>
          <w:rFonts w:cstheme="minorHAnsi"/>
        </w:rPr>
        <w:t xml:space="preserve">] be broken down by giving people in the United Kingdom the right to know.’ </w:t>
      </w:r>
      <w:r>
        <w:rPr>
          <w:rFonts w:cstheme="minorHAnsi"/>
        </w:rPr>
        <w:t>I</w:t>
      </w:r>
      <w:r w:rsidRPr="00EB6BE4">
        <w:rPr>
          <w:rFonts w:cstheme="minorHAnsi"/>
        </w:rPr>
        <w:t xml:space="preserve">t is maintained that the promised ‘fundamental and vital change between government and governed’ informs </w:t>
      </w:r>
      <w:r>
        <w:rPr>
          <w:rFonts w:cstheme="minorHAnsi"/>
        </w:rPr>
        <w:t xml:space="preserve">the </w:t>
      </w:r>
      <w:r w:rsidRPr="00EB6BE4">
        <w:rPr>
          <w:rFonts w:cstheme="minorHAnsi"/>
        </w:rPr>
        <w:t xml:space="preserve">FOIA 2000. Thus, it is submitted that the act is best understood as creating a general right to know, subject to 23 types of class and prejudice exemptions which must be construed strictly. </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It is submitted on behalf of the applicant that their right to information under </w:t>
      </w:r>
      <w:proofErr w:type="gramStart"/>
      <w:r w:rsidRPr="00EB6BE4">
        <w:rPr>
          <w:rFonts w:cstheme="minorHAnsi"/>
        </w:rPr>
        <w:t>s.1(</w:t>
      </w:r>
      <w:proofErr w:type="gramEnd"/>
      <w:r w:rsidRPr="00EB6BE4">
        <w:rPr>
          <w:rFonts w:cstheme="minorHAnsi"/>
        </w:rPr>
        <w:t>1) is engaged and that the respondents failed to show a coherent justification as to why that right ought to be displaced. First, it is submitted that in light of the serious questions of policy concerned by the disputed decision, the public interest in disclosure strongly engages the underlying justifications of the act; viz. the need to promote transparency and accountability of the Government,</w:t>
      </w:r>
      <w:r w:rsidRPr="00EB6BE4">
        <w:rPr>
          <w:rStyle w:val="a7"/>
          <w:rFonts w:cstheme="minorHAnsi"/>
        </w:rPr>
        <w:footnoteReference w:id="25"/>
      </w:r>
      <w:r w:rsidRPr="00EB6BE4">
        <w:rPr>
          <w:rFonts w:cstheme="minorHAnsi"/>
        </w:rPr>
        <w:t xml:space="preserve"> the furtherance of the active involvement of citizens in the democratic decision-making process,</w:t>
      </w:r>
      <w:r w:rsidRPr="00EB6BE4">
        <w:rPr>
          <w:rStyle w:val="a7"/>
          <w:rFonts w:cstheme="minorHAnsi"/>
        </w:rPr>
        <w:footnoteReference w:id="26"/>
      </w:r>
      <w:r w:rsidRPr="00EB6BE4">
        <w:rPr>
          <w:rFonts w:cstheme="minorHAnsi"/>
        </w:rPr>
        <w:t>and the understanding that citizens, especially those engaged in civil society, are to be treated as responsible individuals and not subjects who must accept authority without questioning.</w:t>
      </w:r>
      <w:r w:rsidRPr="00EB6BE4">
        <w:rPr>
          <w:rStyle w:val="a7"/>
          <w:rFonts w:cstheme="minorHAnsi"/>
        </w:rPr>
        <w:footnoteReference w:id="27"/>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lastRenderedPageBreak/>
        <w:t xml:space="preserve">Furthermore, it is humbly submitted that the respondent’s refusal to release the meeting minutes on the basis of </w:t>
      </w:r>
      <w:r>
        <w:rPr>
          <w:rFonts w:cstheme="minorHAnsi"/>
        </w:rPr>
        <w:t xml:space="preserve">that release </w:t>
      </w:r>
      <w:r w:rsidRPr="00EB6BE4">
        <w:rPr>
          <w:rFonts w:cstheme="minorHAnsi"/>
        </w:rPr>
        <w:t xml:space="preserve">either </w:t>
      </w:r>
      <w:r>
        <w:rPr>
          <w:rFonts w:cstheme="minorHAnsi"/>
        </w:rPr>
        <w:t>“inhibit[</w:t>
      </w:r>
      <w:proofErr w:type="spellStart"/>
      <w:r>
        <w:rPr>
          <w:rFonts w:cstheme="minorHAnsi"/>
        </w:rPr>
        <w:t>ing</w:t>
      </w:r>
      <w:proofErr w:type="spellEnd"/>
      <w:r>
        <w:rPr>
          <w:rFonts w:cstheme="minorHAnsi"/>
        </w:rPr>
        <w:t xml:space="preserve">] … the free and frank </w:t>
      </w:r>
      <w:r w:rsidRPr="00EB6BE4">
        <w:rPr>
          <w:rFonts w:cstheme="minorHAnsi"/>
        </w:rPr>
        <w:t>exchange of views for</w:t>
      </w:r>
      <w:r>
        <w:rPr>
          <w:rFonts w:cstheme="minorHAnsi"/>
        </w:rPr>
        <w:t xml:space="preserve"> the purpose of deliberation</w:t>
      </w:r>
      <w:r w:rsidRPr="00EB6BE4">
        <w:rPr>
          <w:rFonts w:cstheme="minorHAnsi"/>
        </w:rPr>
        <w:t xml:space="preserve">” </w:t>
      </w:r>
      <w:r>
        <w:rPr>
          <w:rFonts w:cstheme="minorHAnsi"/>
        </w:rPr>
        <w:t xml:space="preserve">under </w:t>
      </w:r>
      <w:r w:rsidRPr="00EB6BE4">
        <w:rPr>
          <w:rFonts w:cstheme="minorHAnsi"/>
        </w:rPr>
        <w:t>s.36(2</w:t>
      </w:r>
      <w:r>
        <w:rPr>
          <w:rFonts w:cstheme="minorHAnsi"/>
        </w:rPr>
        <w:t>)</w:t>
      </w:r>
      <w:r w:rsidRPr="00EB6BE4">
        <w:rPr>
          <w:rFonts w:cstheme="minorHAnsi"/>
        </w:rPr>
        <w:t>(b)(ii) or ‘</w:t>
      </w:r>
      <w:proofErr w:type="spellStart"/>
      <w:r w:rsidRPr="00EB6BE4">
        <w:rPr>
          <w:rFonts w:cstheme="minorHAnsi"/>
        </w:rPr>
        <w:t>prejudic</w:t>
      </w:r>
      <w:proofErr w:type="spellEnd"/>
      <w:r>
        <w:rPr>
          <w:rFonts w:cstheme="minorHAnsi"/>
        </w:rPr>
        <w:t>[</w:t>
      </w:r>
      <w:proofErr w:type="spellStart"/>
      <w:r>
        <w:rPr>
          <w:rFonts w:cstheme="minorHAnsi"/>
        </w:rPr>
        <w:t>ing</w:t>
      </w:r>
      <w:proofErr w:type="spellEnd"/>
      <w:r>
        <w:rPr>
          <w:rFonts w:cstheme="minorHAnsi"/>
        </w:rPr>
        <w:t xml:space="preserve">] </w:t>
      </w:r>
      <w:r w:rsidRPr="00EB6BE4">
        <w:rPr>
          <w:rFonts w:cstheme="minorHAnsi"/>
        </w:rPr>
        <w:t xml:space="preserve">the effective conduct of public affairs’ </w:t>
      </w:r>
      <w:r>
        <w:rPr>
          <w:rFonts w:cstheme="minorHAnsi"/>
        </w:rPr>
        <w:t xml:space="preserve">under </w:t>
      </w:r>
      <w:r w:rsidRPr="00EB6BE4">
        <w:rPr>
          <w:rFonts w:cstheme="minorHAnsi"/>
        </w:rPr>
        <w:t>s.36(2</w:t>
      </w:r>
      <w:r>
        <w:rPr>
          <w:rFonts w:cstheme="minorHAnsi"/>
        </w:rPr>
        <w:t>)</w:t>
      </w:r>
      <w:r w:rsidRPr="00EB6BE4">
        <w:rPr>
          <w:rFonts w:cstheme="minorHAnsi"/>
        </w:rPr>
        <w:t xml:space="preserve"> (c) is not well-founded. First, it must be noted that there was no specification by the respondent as to how the post facto release of the basis on which the disputed decision was reach</w:t>
      </w:r>
      <w:r>
        <w:rPr>
          <w:rFonts w:cstheme="minorHAnsi"/>
        </w:rPr>
        <w:t>ed</w:t>
      </w:r>
      <w:r w:rsidRPr="00EB6BE4">
        <w:rPr>
          <w:rFonts w:cstheme="minorHAnsi"/>
        </w:rPr>
        <w:t xml:space="preserve"> “would, or would be likely, to inhibit… the free and frank exchange of views for the purpose of deliberation [.]” Surely, employees of Her Majesty’s Government can expect that their decision-making process with regards to matters of such fundamental environmental concern would be subject to close scrutiny. Accordingly, it could not be fathomed how any such employees would say anything in internal meetings which could be interpreted as not admirably aimed at fulfilling the duties under s. 27 of the 2013 Act. Thus, it is submitted that if those present at the meetings in question did take full account of the importance of environmental protection accorded by s. 27 they ought </w:t>
      </w:r>
      <w:proofErr w:type="gramStart"/>
      <w:r w:rsidRPr="00EB6BE4">
        <w:rPr>
          <w:rFonts w:cstheme="minorHAnsi"/>
        </w:rPr>
        <w:t>not</w:t>
      </w:r>
      <w:proofErr w:type="gramEnd"/>
      <w:r w:rsidRPr="00EB6BE4">
        <w:rPr>
          <w:rFonts w:cstheme="minorHAnsi"/>
        </w:rPr>
        <w:t xml:space="preserve"> be inhibited in their future exchange of ideas by the idea of publication.</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If however, contrary to our high esteem of the employees in the Department of Transport, the free and frank exchange of ideas within that department indicates that such account was not taken of the environmental protection safeguards in s. 27, then it is submitted that the public interest in learning of this contravention of the 2013 Act ‘outweighs’ the public interest in maintaining the exemption pursuant to </w:t>
      </w:r>
      <w:proofErr w:type="gramStart"/>
      <w:r w:rsidRPr="00EB6BE4">
        <w:rPr>
          <w:rFonts w:cstheme="minorHAnsi"/>
        </w:rPr>
        <w:t>s.2(</w:t>
      </w:r>
      <w:proofErr w:type="gramEnd"/>
      <w:r w:rsidRPr="00EB6BE4">
        <w:rPr>
          <w:rFonts w:cstheme="minorHAnsi"/>
        </w:rPr>
        <w:t xml:space="preserve">2)(b). </w:t>
      </w:r>
      <w:r>
        <w:rPr>
          <w:rFonts w:cstheme="minorHAnsi"/>
        </w:rPr>
        <w:t xml:space="preserve">It </w:t>
      </w:r>
      <w:r w:rsidRPr="00EB6BE4">
        <w:rPr>
          <w:rFonts w:cstheme="minorHAnsi"/>
        </w:rPr>
        <w:t>would be most peculiar if an exemption under an Act of Parliament passed to improve transparency were applicable to cover up misconduct.</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The arguments raised in the above paragraphs apply, </w:t>
      </w:r>
      <w:r w:rsidRPr="00EB6BE4">
        <w:rPr>
          <w:rFonts w:cstheme="minorHAnsi"/>
          <w:i/>
        </w:rPr>
        <w:t>mutatis mutandis</w:t>
      </w:r>
      <w:r w:rsidRPr="00EB6BE4">
        <w:rPr>
          <w:rFonts w:cstheme="minorHAnsi"/>
        </w:rPr>
        <w:t xml:space="preserve">, to the proposed exemption </w:t>
      </w:r>
      <w:r>
        <w:rPr>
          <w:rFonts w:cstheme="minorHAnsi"/>
        </w:rPr>
        <w:t xml:space="preserve">due to </w:t>
      </w:r>
      <w:r w:rsidRPr="00EB6BE4">
        <w:rPr>
          <w:rFonts w:cstheme="minorHAnsi"/>
        </w:rPr>
        <w:t>‘</w:t>
      </w:r>
      <w:proofErr w:type="spellStart"/>
      <w:r w:rsidRPr="00EB6BE4">
        <w:rPr>
          <w:rFonts w:cstheme="minorHAnsi"/>
        </w:rPr>
        <w:t>prejudic</w:t>
      </w:r>
      <w:proofErr w:type="spellEnd"/>
      <w:r>
        <w:rPr>
          <w:rFonts w:cstheme="minorHAnsi"/>
        </w:rPr>
        <w:t>[</w:t>
      </w:r>
      <w:proofErr w:type="spellStart"/>
      <w:r>
        <w:rPr>
          <w:rFonts w:cstheme="minorHAnsi"/>
        </w:rPr>
        <w:t>ing</w:t>
      </w:r>
      <w:proofErr w:type="spellEnd"/>
      <w:r>
        <w:rPr>
          <w:rFonts w:cstheme="minorHAnsi"/>
        </w:rPr>
        <w:t xml:space="preserve">] </w:t>
      </w:r>
      <w:r w:rsidRPr="00EB6BE4">
        <w:rPr>
          <w:rFonts w:cstheme="minorHAnsi"/>
        </w:rPr>
        <w:t>the effective conduct of public affairs’</w:t>
      </w:r>
      <w:r>
        <w:rPr>
          <w:rFonts w:cstheme="minorHAnsi"/>
        </w:rPr>
        <w:t xml:space="preserve"> </w:t>
      </w:r>
      <w:r w:rsidRPr="00EB6BE4">
        <w:rPr>
          <w:rFonts w:cstheme="minorHAnsi"/>
        </w:rPr>
        <w:t xml:space="preserve">under s.36(2)(c) as well. In fact, in light of the broad, catch-all nature of that section, it is submitted that the courts should construct it with the utmost stringency lest the purpose of the Act be altogether undermined. If we should allow the respondent to rely on unspecified ‘prejudice [to] the effective conduct of public affairs’ under </w:t>
      </w:r>
      <w:proofErr w:type="gramStart"/>
      <w:r w:rsidRPr="00EB6BE4">
        <w:rPr>
          <w:rFonts w:cstheme="minorHAnsi"/>
        </w:rPr>
        <w:t>s.36(</w:t>
      </w:r>
      <w:proofErr w:type="gramEnd"/>
      <w:r w:rsidRPr="00EB6BE4">
        <w:rPr>
          <w:rFonts w:cstheme="minorHAnsi"/>
        </w:rPr>
        <w:t>2)(c) whenever publication under s.1(1) is not in their interest, there might be a real danger that the intended ‘fundamental and vital change between government and governed’ becomes nothing more than a hollow promise.</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lastRenderedPageBreak/>
        <w:t xml:space="preserve">In the alternative, it is submitted that if the respondent were to lead more specific information as to what aspect of which meetings would be likely to be caught by either provision under s. 36, a redaction of that information from the information released would be a more proportionate means of achieving ‘the public interest in maintaining the exemption’ referred to in </w:t>
      </w:r>
      <w:proofErr w:type="gramStart"/>
      <w:r w:rsidRPr="00EB6BE4">
        <w:rPr>
          <w:rFonts w:cstheme="minorHAnsi"/>
        </w:rPr>
        <w:t>s.2(</w:t>
      </w:r>
      <w:proofErr w:type="gramEnd"/>
      <w:r w:rsidRPr="00EB6BE4">
        <w:rPr>
          <w:rFonts w:cstheme="minorHAnsi"/>
        </w:rPr>
        <w:t xml:space="preserve">2)(b). </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Finally, it is submitted that in order to rely on the exemption for commercially sensitive information in </w:t>
      </w:r>
      <w:proofErr w:type="gramStart"/>
      <w:r w:rsidRPr="00EB6BE4">
        <w:rPr>
          <w:rFonts w:cstheme="minorHAnsi"/>
        </w:rPr>
        <w:t>s.43(</w:t>
      </w:r>
      <w:proofErr w:type="gramEnd"/>
      <w:r w:rsidRPr="00EB6BE4">
        <w:rPr>
          <w:rFonts w:cstheme="minorHAnsi"/>
        </w:rPr>
        <w:t>2), the respondent must do more than merely assert commercial sensitivity. At the very least, the respondents must establish that there is a real risk of prejudice, not just a theoretical risk or the mere possibility of risk.</w:t>
      </w:r>
      <w:r w:rsidRPr="00EB6BE4">
        <w:rPr>
          <w:rStyle w:val="a7"/>
          <w:rFonts w:cstheme="minorHAnsi"/>
        </w:rPr>
        <w:footnoteReference w:id="28"/>
      </w:r>
      <w:r w:rsidRPr="00EB6BE4">
        <w:rPr>
          <w:rFonts w:cstheme="minorHAnsi"/>
        </w:rPr>
        <w:t xml:space="preserve">It is submitted that the respondent, by merely alleging that the business interests of its contractors in the construction of the project would be prejudiced by the release of the supporting documents regarding the disputed decision has not fulfilled that standard. It is at best tenable to suggest that the release of the kinds of documents the disputed decision was based on, likely some sort of departmental environmental impact and commercial feasibility studies as well as the relied on bid documents and planning </w:t>
      </w:r>
      <w:proofErr w:type="gramStart"/>
      <w:r w:rsidRPr="00EB6BE4">
        <w:rPr>
          <w:rFonts w:cstheme="minorHAnsi"/>
        </w:rPr>
        <w:t>proposals,</w:t>
      </w:r>
      <w:proofErr w:type="gramEnd"/>
      <w:r w:rsidRPr="00EB6BE4">
        <w:rPr>
          <w:rFonts w:cstheme="minorHAnsi"/>
        </w:rPr>
        <w:t xml:space="preserve"> would in some meaningful way prejudice those contractors.</w:t>
      </w:r>
    </w:p>
    <w:p w:rsidR="007867B3" w:rsidRPr="00EB6BE4"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 xml:space="preserve">Moreover, it is submitted that in order to rely on the commercial sensitivity of the relevant bids and planning proposals, the respondent will have to adduce credible evidence from the respective commercial entities that this is indeed the case. </w:t>
      </w:r>
      <w:r w:rsidRPr="00EB6BE4">
        <w:rPr>
          <w:rFonts w:cstheme="minorHAnsi"/>
          <w:color w:val="262626"/>
          <w:lang w:val="en-US"/>
        </w:rPr>
        <w:t>In the absence of evidence put forward by a third party that there would be commercial prejudice to that third party's interests, there is a risk that such commercial prejudice will be discounted even if there is good reason to believe that such prejudice would arise.</w:t>
      </w:r>
      <w:r w:rsidRPr="00EB6BE4">
        <w:rPr>
          <w:rStyle w:val="a7"/>
          <w:rFonts w:cstheme="minorHAnsi"/>
          <w:color w:val="262626"/>
        </w:rPr>
        <w:footnoteReference w:id="29"/>
      </w:r>
      <w:r w:rsidRPr="00EB6BE4">
        <w:rPr>
          <w:rFonts w:cstheme="minorHAnsi"/>
          <w:color w:val="262626"/>
          <w:sz w:val="26"/>
          <w:szCs w:val="26"/>
          <w:lang w:val="en-US"/>
        </w:rPr>
        <w:t xml:space="preserve"> </w:t>
      </w:r>
    </w:p>
    <w:p w:rsidR="007867B3" w:rsidRDefault="007867B3" w:rsidP="007867B3">
      <w:pPr>
        <w:pStyle w:val="a3"/>
        <w:numPr>
          <w:ilvl w:val="0"/>
          <w:numId w:val="20"/>
        </w:numPr>
        <w:spacing w:after="200" w:line="360" w:lineRule="auto"/>
        <w:ind w:left="0" w:firstLine="0"/>
        <w:contextualSpacing w:val="0"/>
        <w:jc w:val="both"/>
        <w:rPr>
          <w:rFonts w:cstheme="minorHAnsi"/>
        </w:rPr>
      </w:pPr>
      <w:r w:rsidRPr="00EB6BE4">
        <w:rPr>
          <w:rFonts w:cstheme="minorHAnsi"/>
        </w:rPr>
        <w:t>Alternatively, it cannot be proportionate to withhold all the requested information. If for example one bid document or planning proposal does indeed contain such commercially sensitive information, this cannot serve as a justification</w:t>
      </w:r>
      <w:r>
        <w:rPr>
          <w:rFonts w:cstheme="minorHAnsi"/>
        </w:rPr>
        <w:t xml:space="preserve"> not</w:t>
      </w:r>
      <w:r w:rsidRPr="00EB6BE4">
        <w:rPr>
          <w:rFonts w:cstheme="minorHAnsi"/>
        </w:rPr>
        <w:t xml:space="preserve"> to release the remaining supporting documents. </w:t>
      </w:r>
    </w:p>
    <w:p w:rsidR="007867B3" w:rsidRPr="00096E8B" w:rsidRDefault="007867B3" w:rsidP="007867B3">
      <w:pPr>
        <w:pStyle w:val="a3"/>
        <w:spacing w:after="200" w:line="360" w:lineRule="auto"/>
        <w:ind w:left="0"/>
        <w:contextualSpacing w:val="0"/>
        <w:jc w:val="both"/>
        <w:rPr>
          <w:rFonts w:cstheme="minorHAnsi"/>
        </w:rPr>
      </w:pPr>
    </w:p>
    <w:p w:rsidR="007867B3" w:rsidRDefault="007867B3" w:rsidP="007867B3">
      <w:pPr>
        <w:pStyle w:val="1"/>
      </w:pPr>
      <w:r w:rsidRPr="00EF6769">
        <w:lastRenderedPageBreak/>
        <w:t xml:space="preserve">D. </w:t>
      </w:r>
      <w:r w:rsidRPr="00EB6BE4">
        <w:t>Conclusion</w:t>
      </w:r>
    </w:p>
    <w:p w:rsidR="007867B3" w:rsidRPr="00350980" w:rsidRDefault="007867B3" w:rsidP="007867B3"/>
    <w:p w:rsidR="007867B3" w:rsidRPr="007867B3" w:rsidRDefault="007867B3" w:rsidP="007867B3">
      <w:pPr>
        <w:pStyle w:val="a3"/>
        <w:numPr>
          <w:ilvl w:val="0"/>
          <w:numId w:val="20"/>
        </w:numPr>
        <w:spacing w:after="200" w:line="360" w:lineRule="auto"/>
        <w:ind w:left="0" w:firstLine="0"/>
        <w:contextualSpacing w:val="0"/>
        <w:jc w:val="both"/>
        <w:rPr>
          <w:rFonts w:cstheme="minorHAnsi" w:hint="eastAsia"/>
        </w:rPr>
      </w:pPr>
      <w:r w:rsidRPr="00EB6BE4">
        <w:rPr>
          <w:rFonts w:cstheme="minorHAnsi"/>
        </w:rPr>
        <w:t xml:space="preserve">In conclusion it is submitted on behalf of the applicant that the Alliance, as a public interest body, had the standing to bring judicial review on the basis that the disputed decision is in contravention of s.27 of the Transport Act 2013, and that that standing is not undermined by its decision to accept the litigation funding by </w:t>
      </w:r>
      <w:proofErr w:type="spellStart"/>
      <w:r w:rsidRPr="00EB6BE4">
        <w:rPr>
          <w:rFonts w:cstheme="minorHAnsi"/>
        </w:rPr>
        <w:t>SuperBus</w:t>
      </w:r>
      <w:proofErr w:type="spellEnd"/>
      <w:r w:rsidRPr="00EB6BE4">
        <w:rPr>
          <w:rFonts w:cstheme="minorHAnsi"/>
        </w:rPr>
        <w:t xml:space="preserve"> PLC. Moreover, it is contended that the Department of the Transport had to release the meeting minutes pursuant to s.1(1) FOIA 2000 because the information was not exempt under either ss.36(2)(b)(ii), 36(2)(c) or 43(2) of the 2000 Act.</w:t>
      </w:r>
    </w:p>
    <w:p w:rsidR="007867B3" w:rsidRDefault="007867B3">
      <w:pPr>
        <w:spacing w:after="200" w:line="276" w:lineRule="auto"/>
        <w:rPr>
          <w:rFonts w:eastAsiaTheme="minorEastAsia" w:cstheme="minorHAnsi"/>
          <w:lang w:eastAsia="zh-CN"/>
        </w:rPr>
      </w:pPr>
      <w:r>
        <w:rPr>
          <w:rFonts w:eastAsiaTheme="minorEastAsia" w:cstheme="minorHAnsi"/>
          <w:lang w:eastAsia="zh-CN"/>
        </w:rPr>
        <w:br w:type="page"/>
      </w:r>
    </w:p>
    <w:p w:rsidR="00FC550C" w:rsidRPr="00BE2713" w:rsidRDefault="00FC550C" w:rsidP="00FC550C">
      <w:pPr>
        <w:rPr>
          <w:b/>
          <w:smallCaps/>
        </w:rPr>
      </w:pPr>
      <w:r w:rsidRPr="00BE2713">
        <w:rPr>
          <w:b/>
          <w:smallCaps/>
        </w:rPr>
        <w:lastRenderedPageBreak/>
        <w:t xml:space="preserve">In the High Court of Justice </w:t>
      </w:r>
    </w:p>
    <w:p w:rsidR="00FC550C" w:rsidRPr="00BE2713" w:rsidRDefault="00FC550C" w:rsidP="00FC550C">
      <w:pPr>
        <w:rPr>
          <w:b/>
          <w:smallCaps/>
        </w:rPr>
      </w:pPr>
      <w:r w:rsidRPr="00BE2713">
        <w:rPr>
          <w:b/>
          <w:smallCaps/>
        </w:rPr>
        <w:t xml:space="preserve">Administrative Court </w:t>
      </w:r>
    </w:p>
    <w:p w:rsidR="00FC550C" w:rsidRPr="00BE2713" w:rsidRDefault="00FC550C" w:rsidP="00FC550C">
      <w:pPr>
        <w:rPr>
          <w:b/>
          <w:smallCaps/>
        </w:rPr>
      </w:pPr>
      <w:r>
        <w:rPr>
          <w:b/>
          <w:smallCaps/>
        </w:rPr>
        <w:t xml:space="preserve">Lord </w:t>
      </w:r>
      <w:proofErr w:type="spellStart"/>
      <w:r>
        <w:rPr>
          <w:b/>
          <w:smallCaps/>
        </w:rPr>
        <w:t>Carnwath</w:t>
      </w:r>
      <w:proofErr w:type="spellEnd"/>
    </w:p>
    <w:p w:rsidR="00FC550C" w:rsidRPr="00BE2713" w:rsidRDefault="00FC550C" w:rsidP="00FC550C">
      <w:pPr>
        <w:rPr>
          <w:b/>
          <w:smallCaps/>
        </w:rPr>
      </w:pPr>
      <w:r w:rsidRPr="00BE2713">
        <w:rPr>
          <w:b/>
          <w:smallCaps/>
        </w:rPr>
        <w:t>CO/7326/2844; CO/732/2012</w:t>
      </w:r>
    </w:p>
    <w:p w:rsidR="00FC550C" w:rsidRPr="00BE2713" w:rsidRDefault="00FC550C" w:rsidP="00FC550C">
      <w:pPr>
        <w:spacing w:line="360" w:lineRule="auto"/>
        <w:jc w:val="center"/>
        <w:rPr>
          <w:b/>
          <w:smallCaps/>
        </w:rPr>
      </w:pPr>
    </w:p>
    <w:p w:rsidR="00FC550C" w:rsidRPr="00BE2713" w:rsidRDefault="00FC550C" w:rsidP="00FC550C">
      <w:pPr>
        <w:spacing w:line="360" w:lineRule="auto"/>
        <w:jc w:val="center"/>
        <w:rPr>
          <w:b/>
        </w:rPr>
      </w:pPr>
      <w:r w:rsidRPr="00BE2713">
        <w:rPr>
          <w:b/>
        </w:rPr>
        <w:t xml:space="preserve">R (on the application of The Environmental Alliance of </w:t>
      </w:r>
      <w:r>
        <w:rPr>
          <w:b/>
        </w:rPr>
        <w:t>Buxton</w:t>
      </w:r>
      <w:r w:rsidRPr="00BE2713">
        <w:rPr>
          <w:b/>
        </w:rPr>
        <w:t>)</w:t>
      </w:r>
    </w:p>
    <w:p w:rsidR="00FC550C" w:rsidRPr="0090421A" w:rsidRDefault="00FC550C" w:rsidP="00FC550C">
      <w:pPr>
        <w:spacing w:line="360" w:lineRule="auto"/>
        <w:jc w:val="right"/>
        <w:rPr>
          <w:b/>
          <w:bCs/>
          <w:smallCaps/>
        </w:rPr>
      </w:pPr>
      <w:r w:rsidRPr="0090421A">
        <w:rPr>
          <w:b/>
          <w:bCs/>
          <w:smallCaps/>
        </w:rPr>
        <w:t>Applicant</w:t>
      </w:r>
    </w:p>
    <w:p w:rsidR="00FC550C" w:rsidRPr="00BE2713" w:rsidRDefault="00FC550C" w:rsidP="00FC550C">
      <w:pPr>
        <w:spacing w:line="360" w:lineRule="auto"/>
        <w:jc w:val="center"/>
        <w:rPr>
          <w:b/>
        </w:rPr>
      </w:pPr>
      <w:proofErr w:type="gramStart"/>
      <w:r w:rsidRPr="00BE2713">
        <w:rPr>
          <w:b/>
        </w:rPr>
        <w:t>and</w:t>
      </w:r>
      <w:proofErr w:type="gramEnd"/>
      <w:r w:rsidRPr="00BE2713">
        <w:rPr>
          <w:b/>
        </w:rPr>
        <w:t xml:space="preserve"> </w:t>
      </w:r>
    </w:p>
    <w:p w:rsidR="00FC550C" w:rsidRPr="00BE2713" w:rsidRDefault="00FC550C" w:rsidP="00FC550C">
      <w:pPr>
        <w:spacing w:line="360" w:lineRule="auto"/>
        <w:jc w:val="center"/>
        <w:rPr>
          <w:b/>
        </w:rPr>
      </w:pPr>
    </w:p>
    <w:p w:rsidR="00FC550C" w:rsidRPr="00BE2713" w:rsidRDefault="00FC550C" w:rsidP="00FC550C">
      <w:pPr>
        <w:spacing w:line="360" w:lineRule="auto"/>
        <w:jc w:val="center"/>
        <w:rPr>
          <w:b/>
        </w:rPr>
      </w:pPr>
      <w:r w:rsidRPr="00BE2713">
        <w:rPr>
          <w:b/>
        </w:rPr>
        <w:t>Secretary of State for Transport</w:t>
      </w:r>
    </w:p>
    <w:p w:rsidR="00FC550C" w:rsidRPr="0090421A" w:rsidRDefault="00FC550C" w:rsidP="00FC550C">
      <w:pPr>
        <w:spacing w:line="360" w:lineRule="auto"/>
        <w:jc w:val="right"/>
        <w:rPr>
          <w:b/>
          <w:bCs/>
          <w:smallCaps/>
        </w:rPr>
      </w:pPr>
      <w:r w:rsidRPr="0090421A">
        <w:rPr>
          <w:b/>
          <w:bCs/>
          <w:smallCaps/>
        </w:rPr>
        <w:t>Respondent</w:t>
      </w:r>
    </w:p>
    <w:p w:rsidR="00FC550C" w:rsidRDefault="00FC550C" w:rsidP="00FC550C">
      <w:pPr>
        <w:spacing w:line="360" w:lineRule="auto"/>
        <w:jc w:val="center"/>
        <w:rPr>
          <w:smallCaps/>
        </w:rPr>
      </w:pPr>
      <w:r>
        <w:rPr>
          <w:smallCaps/>
        </w:rPr>
        <w:t>_____________________________________</w:t>
      </w:r>
    </w:p>
    <w:p w:rsidR="00FC550C" w:rsidRPr="00BE2713" w:rsidRDefault="00FC550C" w:rsidP="00FC550C">
      <w:pPr>
        <w:spacing w:line="360" w:lineRule="auto"/>
        <w:jc w:val="center"/>
        <w:rPr>
          <w:b/>
          <w:smallCaps/>
        </w:rPr>
      </w:pPr>
      <w:r>
        <w:rPr>
          <w:b/>
          <w:smallCaps/>
        </w:rPr>
        <w:t>Skeleton</w:t>
      </w:r>
      <w:r w:rsidRPr="00BE2713">
        <w:rPr>
          <w:b/>
          <w:smallCaps/>
        </w:rPr>
        <w:t xml:space="preserve"> Argument for the Secretary of State</w:t>
      </w:r>
    </w:p>
    <w:p w:rsidR="00FC550C" w:rsidRDefault="00FC550C" w:rsidP="00FC550C">
      <w:pPr>
        <w:spacing w:line="360" w:lineRule="auto"/>
        <w:jc w:val="center"/>
        <w:rPr>
          <w:smallCaps/>
        </w:rPr>
      </w:pPr>
      <w:r>
        <w:rPr>
          <w:smallCaps/>
        </w:rPr>
        <w:t>_____________________________________</w:t>
      </w:r>
    </w:p>
    <w:p w:rsidR="00FC550C" w:rsidRDefault="00FC550C" w:rsidP="00FC550C">
      <w:pPr>
        <w:spacing w:line="360" w:lineRule="auto"/>
        <w:rPr>
          <w:smallCaps/>
        </w:rPr>
      </w:pPr>
    </w:p>
    <w:p w:rsidR="00FC550C" w:rsidRPr="00712E6C" w:rsidRDefault="00FC550C" w:rsidP="00FC550C">
      <w:pPr>
        <w:spacing w:line="360" w:lineRule="auto"/>
        <w:rPr>
          <w:b/>
          <w:u w:val="single"/>
        </w:rPr>
      </w:pPr>
      <w:r>
        <w:rPr>
          <w:b/>
          <w:u w:val="single"/>
        </w:rPr>
        <w:t xml:space="preserve">A. </w:t>
      </w:r>
      <w:r w:rsidRPr="00712E6C">
        <w:rPr>
          <w:b/>
          <w:u w:val="single"/>
        </w:rPr>
        <w:t xml:space="preserve">Introduction </w:t>
      </w:r>
    </w:p>
    <w:p w:rsidR="00FC550C" w:rsidRDefault="00FC550C" w:rsidP="00FC550C">
      <w:pPr>
        <w:pStyle w:val="a3"/>
        <w:numPr>
          <w:ilvl w:val="0"/>
          <w:numId w:val="6"/>
        </w:numPr>
        <w:spacing w:after="200" w:line="360" w:lineRule="auto"/>
        <w:contextualSpacing w:val="0"/>
        <w:jc w:val="both"/>
      </w:pPr>
      <w:r>
        <w:t xml:space="preserve">The Environmental Alliance of Buxton (‘the Alliance’) has applied to the court for standing in order to bring a claim for judicial review against the decision by the Secretary of State for Transport to make compulsory purchases pursuant to s.27(1) of the Transport Act 2013 (‘the Act’). The Alliance also submits that it should be entitled to relevant meeting minutes and supporting documents pursuant to the Freedom of Information Act 2000 (‘FOIA’). </w:t>
      </w:r>
    </w:p>
    <w:p w:rsidR="00FC550C" w:rsidRDefault="00FC550C" w:rsidP="00FC550C">
      <w:pPr>
        <w:pStyle w:val="a3"/>
        <w:numPr>
          <w:ilvl w:val="0"/>
          <w:numId w:val="6"/>
        </w:numPr>
        <w:spacing w:after="200" w:line="360" w:lineRule="auto"/>
        <w:contextualSpacing w:val="0"/>
        <w:jc w:val="both"/>
      </w:pPr>
      <w:r w:rsidRPr="007E61E1">
        <w:t>This i</w:t>
      </w:r>
      <w:r>
        <w:t xml:space="preserve">s the Secretary of State’s response to both the Alliance’s application for standing to bring a claim for judicial review, and the claim that the Secretary of State for Transport breached his duties under the FOIA when he decided not to provide the Alliance with information under the FOIA. </w:t>
      </w:r>
    </w:p>
    <w:p w:rsidR="00FC550C" w:rsidRPr="00712E6C" w:rsidRDefault="00FC550C" w:rsidP="00FC550C">
      <w:pPr>
        <w:spacing w:line="360" w:lineRule="auto"/>
        <w:jc w:val="both"/>
        <w:rPr>
          <w:b/>
          <w:u w:val="single"/>
        </w:rPr>
      </w:pPr>
      <w:r>
        <w:rPr>
          <w:b/>
          <w:u w:val="single"/>
        </w:rPr>
        <w:t xml:space="preserve">B. </w:t>
      </w:r>
      <w:r w:rsidRPr="00712E6C">
        <w:rPr>
          <w:b/>
          <w:u w:val="single"/>
        </w:rPr>
        <w:t xml:space="preserve">Standing for Judicial Review </w:t>
      </w:r>
    </w:p>
    <w:p w:rsidR="00FC550C" w:rsidRDefault="00FC550C" w:rsidP="00FC550C">
      <w:pPr>
        <w:pStyle w:val="a3"/>
        <w:numPr>
          <w:ilvl w:val="0"/>
          <w:numId w:val="6"/>
        </w:numPr>
        <w:spacing w:after="200" w:line="360" w:lineRule="auto"/>
        <w:contextualSpacing w:val="0"/>
        <w:jc w:val="both"/>
      </w:pPr>
      <w:r>
        <w:t xml:space="preserve">It is submitted that the Alliance should not be held to have standing to bring a claim for judicial review in the present case for three reasons:  Firstly, because it does not have ‘a sufficient interest in the matter to which the application rises’ under </w:t>
      </w:r>
      <w:proofErr w:type="gramStart"/>
      <w:r>
        <w:t>s.31(</w:t>
      </w:r>
      <w:proofErr w:type="gramEnd"/>
      <w:r>
        <w:t xml:space="preserve">3) Senior Courts Act 1981. Secondly, the courts’ expansive approach to standing for judicial review undertaken in the public interest does not provide a basis for standing in the present case.  Thirdly, the court should refuse to grant </w:t>
      </w:r>
      <w:r>
        <w:lastRenderedPageBreak/>
        <w:t xml:space="preserve">standing because it is unlikely that it will find that the Secretary of State acted illegally or unreasonably, the Alliance is not able to provide the courts with expertise on the issue, and the trustees of the land are the most appropriate parties to bring claim for judicial review. Finally, the fact that the Alliance is partially funded by a third party with an economic interest in the outcome of the judicial review undermines its good faith, and on that basis, its standing to bring the judicial review should be rejected. </w:t>
      </w:r>
    </w:p>
    <w:p w:rsidR="00FC550C" w:rsidRDefault="00FC550C" w:rsidP="00FC550C">
      <w:pPr>
        <w:pStyle w:val="a3"/>
        <w:numPr>
          <w:ilvl w:val="0"/>
          <w:numId w:val="6"/>
        </w:numPr>
        <w:spacing w:after="200" w:line="360" w:lineRule="auto"/>
        <w:contextualSpacing w:val="0"/>
        <w:jc w:val="both"/>
      </w:pPr>
      <w:r>
        <w:t>The right to judicial review is a fundamental aspect of the rule of law. This reflects the fact that the powers of the Executive can be legitimately curtailed by Parliament,</w:t>
      </w:r>
      <w:r>
        <w:rPr>
          <w:rStyle w:val="a7"/>
        </w:rPr>
        <w:footnoteReference w:id="30"/>
      </w:r>
      <w:r>
        <w:t xml:space="preserve"> and that the Government’s power and discretion in the execution of its duties are not unlimited. In fact, the legislation passed by Parliament, the body of elected representatives, is one common way in which the power and discretion of the Government are limited. </w:t>
      </w:r>
    </w:p>
    <w:p w:rsidR="00FC550C" w:rsidRDefault="00FC550C" w:rsidP="00FC550C">
      <w:pPr>
        <w:pStyle w:val="a3"/>
        <w:numPr>
          <w:ilvl w:val="0"/>
          <w:numId w:val="6"/>
        </w:numPr>
        <w:spacing w:after="200" w:line="360" w:lineRule="auto"/>
        <w:contextualSpacing w:val="0"/>
        <w:jc w:val="both"/>
      </w:pPr>
      <w:r>
        <w:t>Moreover, the mechanism of judicial review recognizes that legal duties must be enforceable. Accordingly, in order for the rule of law to have any substance, there must also be the corresponding right to judicial review. Judicial review is thus the mechanism provided by the courts to ensure that the Government acts within its allocated powers. This right to judicial review is inherent in the common law. As Lord Hope famously opined, ‘the rule of law enforced by the courts is the ultimate controlling factor on which our constitution is based’.</w:t>
      </w:r>
      <w:r>
        <w:rPr>
          <w:rStyle w:val="a7"/>
        </w:rPr>
        <w:footnoteReference w:id="31"/>
      </w:r>
      <w:r>
        <w:t xml:space="preserve"> </w:t>
      </w:r>
    </w:p>
    <w:p w:rsidR="00FC550C" w:rsidRDefault="00FC550C" w:rsidP="00FC550C">
      <w:pPr>
        <w:pStyle w:val="a3"/>
        <w:numPr>
          <w:ilvl w:val="0"/>
          <w:numId w:val="6"/>
        </w:numPr>
        <w:spacing w:after="200" w:line="360" w:lineRule="auto"/>
        <w:contextualSpacing w:val="0"/>
        <w:jc w:val="both"/>
      </w:pPr>
      <w:r>
        <w:t xml:space="preserve">Although judicial review is inherent in the common law, there are rules of standing to ensure that the process is not abused and that only proper applicants are entitled to seek redress from the courts. In a world with limited resources, it is essential that the courts should not be used as a platform for mere academic debates, and </w:t>
      </w:r>
      <w:proofErr w:type="gramStart"/>
      <w:r>
        <w:t>that judicial resources</w:t>
      </w:r>
      <w:proofErr w:type="gramEnd"/>
      <w:r>
        <w:t xml:space="preserve"> are not wasted on busybodies with no legitimate interest in the matter.</w:t>
      </w:r>
      <w:r>
        <w:rPr>
          <w:rStyle w:val="a7"/>
        </w:rPr>
        <w:footnoteReference w:id="32"/>
      </w:r>
      <w:r>
        <w:t xml:space="preserve"> Therefore, the rules of standing serve the crucial purpose of ensuring that judicial resources are utilized wisely by only allowing applicants genuinely serving the public interest to appear before the court. </w:t>
      </w:r>
    </w:p>
    <w:p w:rsidR="00FC550C" w:rsidRDefault="00FC550C" w:rsidP="00FC550C">
      <w:pPr>
        <w:spacing w:line="360" w:lineRule="auto"/>
        <w:jc w:val="both"/>
        <w:rPr>
          <w:i/>
        </w:rPr>
      </w:pPr>
    </w:p>
    <w:p w:rsidR="00FC550C" w:rsidRPr="00BB2753" w:rsidRDefault="00FC550C" w:rsidP="00FC550C">
      <w:pPr>
        <w:spacing w:line="360" w:lineRule="auto"/>
        <w:jc w:val="both"/>
        <w:rPr>
          <w:i/>
        </w:rPr>
      </w:pPr>
      <w:r>
        <w:rPr>
          <w:i/>
        </w:rPr>
        <w:t xml:space="preserve">Lack of Sufficient Interest </w:t>
      </w:r>
    </w:p>
    <w:p w:rsidR="00FC550C" w:rsidRPr="006E65EE" w:rsidRDefault="00FC550C" w:rsidP="00FC550C">
      <w:pPr>
        <w:pStyle w:val="a3"/>
        <w:numPr>
          <w:ilvl w:val="0"/>
          <w:numId w:val="6"/>
        </w:numPr>
        <w:spacing w:after="200" w:line="360" w:lineRule="auto"/>
        <w:contextualSpacing w:val="0"/>
        <w:jc w:val="both"/>
      </w:pPr>
      <w:r>
        <w:t>Firstly, it is submitted that the Alliance does not have sufficient interest because it does not have any personal interest in the outcome of the judicial review. Historically, the grant of leave for judicial review was very restrictive because the general rule was that the Attorney General safeguards the public interest and individuals should be limited to enforcing their private rights.</w:t>
      </w:r>
      <w:r>
        <w:rPr>
          <w:rStyle w:val="a7"/>
        </w:rPr>
        <w:footnoteReference w:id="33"/>
      </w:r>
      <w:r>
        <w:t xml:space="preserve"> In </w:t>
      </w:r>
      <w:proofErr w:type="spellStart"/>
      <w:r>
        <w:rPr>
          <w:i/>
        </w:rPr>
        <w:t>Gouriet</w:t>
      </w:r>
      <w:proofErr w:type="spellEnd"/>
      <w:r>
        <w:t>, Lord Wilberforce rightly pointed out that ‘[t]</w:t>
      </w:r>
      <w:r w:rsidRPr="006E65EE">
        <w:t xml:space="preserve">he distinction between public rights, which </w:t>
      </w:r>
      <w:r>
        <w:t xml:space="preserve">the </w:t>
      </w:r>
      <w:r w:rsidRPr="006E65EE">
        <w:t>Attorney-General can and the individual (absent special interest) cannot seek to enforce, and private rights, is fundamental in our law. To break it, as the plaintiff's counsel frankly invited us to do, is not a development of the law, but a destruction of one of its pillars.’</w:t>
      </w:r>
      <w:r>
        <w:rPr>
          <w:rStyle w:val="a7"/>
        </w:rPr>
        <w:footnoteReference w:id="34"/>
      </w:r>
    </w:p>
    <w:p w:rsidR="00FC550C" w:rsidRPr="007E61E1" w:rsidRDefault="00FC550C" w:rsidP="00FC550C">
      <w:pPr>
        <w:pStyle w:val="a3"/>
        <w:numPr>
          <w:ilvl w:val="0"/>
          <w:numId w:val="6"/>
        </w:numPr>
        <w:spacing w:after="200" w:line="360" w:lineRule="auto"/>
        <w:contextualSpacing w:val="0"/>
        <w:jc w:val="both"/>
      </w:pPr>
      <w:r>
        <w:t xml:space="preserve">Similarly, in the case of </w:t>
      </w:r>
      <w:r>
        <w:rPr>
          <w:i/>
        </w:rPr>
        <w:t>R v Inland Revenue Commissioners, ex parte National Federation for Self-Employed</w:t>
      </w:r>
      <w:r>
        <w:t>,</w:t>
      </w:r>
      <w:r>
        <w:rPr>
          <w:rStyle w:val="a7"/>
        </w:rPr>
        <w:footnoteReference w:id="35"/>
      </w:r>
      <w:r>
        <w:t xml:space="preserve"> the House of Lords applied a restrictive approach to determining standing for judicial review. The federation applied for a judicial review against the Inland Revenue because the Revenue had introduced a special arrangement with the employers of casual workers in Fleet Street to grant amnesty for past tax evasions in exchange for future tax being deducted at source. The majority held that the federation had no standing to bring the judicial review because it was not personally affected by the Revenue’s actions and had thus not shown sufficient interest. Lord Wilberforce held that </w:t>
      </w:r>
      <w:r w:rsidRPr="00DF4C33">
        <w:t>‘[a]s a matter of general principle I would hold that one taxpayer has no sufficient interest in asking the court to investigate the tax affairs of another taxpayer or to complain that the latter has been under-assessed or over-assessed: indeed, there is a strong public interest that he should not. And this principle applies equally to groups of taxpayers: an aggregate of individuals each of whom has no interest cannot of itself have an interest.’</w:t>
      </w:r>
      <w:r>
        <w:rPr>
          <w:rStyle w:val="a7"/>
        </w:rPr>
        <w:footnoteReference w:id="36"/>
      </w:r>
      <w:r w:rsidRPr="00DF4C33">
        <w:t xml:space="preserve"> In other words, the House of Lords held that the focus </w:t>
      </w:r>
      <w:r>
        <w:t>is on</w:t>
      </w:r>
      <w:r w:rsidRPr="00DF4C33">
        <w:t xml:space="preserve"> whether the person has an individual interest in the situation. </w:t>
      </w:r>
      <w:r w:rsidRPr="00DF4C33">
        <w:lastRenderedPageBreak/>
        <w:t xml:space="preserve">Moreover, the mere aggregation of individuals does not provide standing if none of the parties has standing as an individual. </w:t>
      </w:r>
    </w:p>
    <w:p w:rsidR="00FC550C" w:rsidRDefault="00FC550C" w:rsidP="00FC550C">
      <w:pPr>
        <w:pStyle w:val="a3"/>
        <w:numPr>
          <w:ilvl w:val="0"/>
          <w:numId w:val="6"/>
        </w:numPr>
        <w:spacing w:after="200" w:line="360" w:lineRule="auto"/>
        <w:contextualSpacing w:val="0"/>
        <w:jc w:val="both"/>
      </w:pPr>
      <w:r>
        <w:t xml:space="preserve">It is important to emphasize that the majority in the House of Lords focused on the individual interest and did not follow Lord </w:t>
      </w:r>
      <w:proofErr w:type="spellStart"/>
      <w:r>
        <w:t>Diplock’s</w:t>
      </w:r>
      <w:proofErr w:type="spellEnd"/>
      <w:r>
        <w:t xml:space="preserve"> view. Lord </w:t>
      </w:r>
      <w:proofErr w:type="spellStart"/>
      <w:r>
        <w:t>Diplock</w:t>
      </w:r>
      <w:proofErr w:type="spellEnd"/>
      <w:r>
        <w:t xml:space="preserve"> opined that there would be a lacuna in the law if a pressure group could not vindicate the rule of law.</w:t>
      </w:r>
      <w:r>
        <w:rPr>
          <w:rStyle w:val="a7"/>
        </w:rPr>
        <w:footnoteReference w:id="37"/>
      </w:r>
      <w:r>
        <w:t xml:space="preserve"> However, this view was not adopted by the other members of the House of Lords. Hence, the focus for standing in English law was on whether the individual has sufficient interest, and </w:t>
      </w:r>
      <w:r>
        <w:rPr>
          <w:b/>
        </w:rPr>
        <w:t xml:space="preserve">not </w:t>
      </w:r>
      <w:r>
        <w:t xml:space="preserve">whether the rule of law would be violated if no private individual enforced relevant duties.  </w:t>
      </w:r>
    </w:p>
    <w:p w:rsidR="00FC550C" w:rsidRDefault="00FC550C" w:rsidP="00FC550C">
      <w:pPr>
        <w:pStyle w:val="a3"/>
        <w:numPr>
          <w:ilvl w:val="0"/>
          <w:numId w:val="6"/>
        </w:numPr>
        <w:spacing w:after="200" w:line="360" w:lineRule="auto"/>
        <w:contextualSpacing w:val="0"/>
        <w:jc w:val="both"/>
      </w:pPr>
      <w:r>
        <w:t xml:space="preserve">The historical position regarding standing for organizations also requires that they be affected in some identifiable way. The application of this principle is demonstrated in </w:t>
      </w:r>
      <w:r w:rsidRPr="00430B92">
        <w:rPr>
          <w:i/>
        </w:rPr>
        <w:t>R v Secretary of State for the Environment, ex parte Rose Theatre Trust</w:t>
      </w:r>
      <w:r>
        <w:t>.</w:t>
      </w:r>
      <w:r>
        <w:rPr>
          <w:rStyle w:val="a7"/>
        </w:rPr>
        <w:footnoteReference w:id="38"/>
      </w:r>
      <w:r>
        <w:t xml:space="preserve"> In that case, the remains of an ancient theatre were found, and a company was set up to preserve the remains and to make them accessible to the public. Subsequently, the Secretary of State for the Environment refused to list the remains of the theatre in the Schedule of Monuments under s.1 Ancient Monuments and Archaeological Areas Act 1979 and the company applied for judicial review. </w:t>
      </w:r>
      <w:proofErr w:type="spellStart"/>
      <w:r>
        <w:t>Schiemann</w:t>
      </w:r>
      <w:proofErr w:type="spellEnd"/>
      <w:r>
        <w:t xml:space="preserve"> J found that the members of the company did not have any interest because they were not affected personally. In addition, the company did not have standing because the mere creation of a company constituting members without any personal interest would not provide the company with sufficient interest. </w:t>
      </w:r>
      <w:proofErr w:type="spellStart"/>
      <w:r>
        <w:t>Schiemann</w:t>
      </w:r>
      <w:proofErr w:type="spellEnd"/>
      <w:r>
        <w:t xml:space="preserve"> J was clearly of the view that Parliament did not intend to provide an unrestricted access to the courts for judicial review. Since the logical consequence of this choice is that some unlawful actions might inevitably remain unreviewable by the courts, Parliament should be taken to have preferred this outcome to opening the floodgates to private individuals or associations of private individuals seeking judicial review.</w:t>
      </w:r>
      <w:r>
        <w:rPr>
          <w:rStyle w:val="a7"/>
        </w:rPr>
        <w:footnoteReference w:id="39"/>
      </w:r>
      <w:r>
        <w:t xml:space="preserve"> </w:t>
      </w:r>
    </w:p>
    <w:p w:rsidR="00FC550C" w:rsidRDefault="00FC550C" w:rsidP="00FC550C">
      <w:pPr>
        <w:pStyle w:val="a3"/>
        <w:numPr>
          <w:ilvl w:val="0"/>
          <w:numId w:val="6"/>
        </w:numPr>
        <w:spacing w:after="200" w:line="360" w:lineRule="auto"/>
        <w:contextualSpacing w:val="0"/>
        <w:jc w:val="both"/>
      </w:pPr>
      <w:r>
        <w:lastRenderedPageBreak/>
        <w:t xml:space="preserve">While in the last two decades, the courts have certainly been more liberal in their approach to standing for judicial review in the public interest than they were in </w:t>
      </w:r>
      <w:r>
        <w:rPr>
          <w:i/>
        </w:rPr>
        <w:t xml:space="preserve">Inland Revenues </w:t>
      </w:r>
      <w:r>
        <w:t xml:space="preserve">and </w:t>
      </w:r>
      <w:r>
        <w:rPr>
          <w:i/>
        </w:rPr>
        <w:t>Rose Theatre</w:t>
      </w:r>
      <w:r>
        <w:rPr>
          <w:rStyle w:val="a7"/>
        </w:rPr>
        <w:footnoteReference w:id="40"/>
      </w:r>
      <w:r>
        <w:t>,</w:t>
      </w:r>
      <w:r>
        <w:rPr>
          <w:i/>
        </w:rPr>
        <w:t xml:space="preserve"> </w:t>
      </w:r>
      <w:r>
        <w:t>it is submitted that the case before the Court does not fall within the scope of those decisions and that as a matter of policy – in circumstances such as those presented to the Court in this case –, the historical position under English law as set out above is to be preferred. If unaffected groups that have participated heavily in Government consultation processes are entitled to bring claims for judicial review, there will be no limit to the number of actions that might be brought. This might undermine the efficiency of the court system and waste precious court resources.</w:t>
      </w:r>
      <w:r>
        <w:rPr>
          <w:rStyle w:val="a7"/>
        </w:rPr>
        <w:footnoteReference w:id="41"/>
      </w:r>
      <w:r>
        <w:t xml:space="preserve"> Furthermore, there is a danger that activist groups will use litigation as a substitute for political campaigning. This might have the undesirable outcome of turning the judicial process into a quasi-legislative process.</w:t>
      </w:r>
      <w:r>
        <w:rPr>
          <w:rStyle w:val="a7"/>
        </w:rPr>
        <w:footnoteReference w:id="42"/>
      </w:r>
      <w:r>
        <w:t xml:space="preserve"> </w:t>
      </w:r>
    </w:p>
    <w:p w:rsidR="00FC550C" w:rsidRPr="001F3C50" w:rsidRDefault="00FC550C" w:rsidP="00FC550C">
      <w:pPr>
        <w:pStyle w:val="a3"/>
        <w:numPr>
          <w:ilvl w:val="0"/>
          <w:numId w:val="6"/>
        </w:numPr>
        <w:spacing w:after="200" w:line="360" w:lineRule="auto"/>
        <w:contextualSpacing w:val="0"/>
        <w:jc w:val="both"/>
      </w:pPr>
      <w:r>
        <w:t xml:space="preserve">Certainly, as Lord Hope stated in </w:t>
      </w:r>
      <w:r w:rsidRPr="000F7E43">
        <w:rPr>
          <w:i/>
        </w:rPr>
        <w:t>Walton v Scottish Ministers</w:t>
      </w:r>
      <w:r>
        <w:t>, environmental law ‘</w:t>
      </w:r>
      <w:r w:rsidRPr="00F80C07">
        <w:rPr>
          <w:rFonts w:ascii="Times" w:hAnsi="Times" w:cs="Times"/>
        </w:rPr>
        <w:t>proceeds on the basis that the quality of the natural environment is of legitimate concern to everyon</w:t>
      </w:r>
      <w:r w:rsidRPr="001F3C50">
        <w:rPr>
          <w:rFonts w:ascii="Times" w:hAnsi="Times" w:cs="Times"/>
        </w:rPr>
        <w:t>e</w:t>
      </w:r>
      <w:r>
        <w:rPr>
          <w:rFonts w:ascii="Times" w:hAnsi="Times" w:cs="Times"/>
        </w:rPr>
        <w:t xml:space="preserve">’ and ‘if [wild animals’] interests are </w:t>
      </w:r>
      <w:r w:rsidRPr="00F80C07">
        <w:rPr>
          <w:rFonts w:ascii="Times" w:hAnsi="Times" w:cs="Times"/>
        </w:rPr>
        <w:t xml:space="preserve">to be protected someone has </w:t>
      </w:r>
      <w:r w:rsidRPr="001F3C50">
        <w:rPr>
          <w:rFonts w:ascii="Times" w:hAnsi="Times" w:cs="Times"/>
        </w:rPr>
        <w:t xml:space="preserve">to be allowed </w:t>
      </w:r>
      <w:proofErr w:type="gramStart"/>
      <w:r w:rsidRPr="001F3C50">
        <w:rPr>
          <w:rFonts w:ascii="Times" w:hAnsi="Times" w:cs="Times"/>
        </w:rPr>
        <w:t>to speak</w:t>
      </w:r>
      <w:proofErr w:type="gramEnd"/>
      <w:r w:rsidRPr="001F3C50">
        <w:rPr>
          <w:rFonts w:ascii="Times" w:hAnsi="Times" w:cs="Times"/>
        </w:rPr>
        <w:t xml:space="preserve"> up on [</w:t>
      </w:r>
      <w:r>
        <w:rPr>
          <w:rFonts w:ascii="Times" w:hAnsi="Times" w:cs="Times"/>
        </w:rPr>
        <w:t>their</w:t>
      </w:r>
      <w:r w:rsidRPr="001F3C50">
        <w:rPr>
          <w:rFonts w:ascii="Times" w:hAnsi="Times" w:cs="Times"/>
        </w:rPr>
        <w:t>]</w:t>
      </w:r>
      <w:r w:rsidRPr="00F80C07">
        <w:rPr>
          <w:rFonts w:ascii="Times" w:hAnsi="Times" w:cs="Times"/>
        </w:rPr>
        <w:t xml:space="preserve"> behalf.</w:t>
      </w:r>
      <w:r>
        <w:rPr>
          <w:rFonts w:ascii="Times" w:hAnsi="Times" w:cs="Times"/>
        </w:rPr>
        <w:t>’</w:t>
      </w:r>
      <w:r>
        <w:rPr>
          <w:rStyle w:val="a7"/>
          <w:rFonts w:ascii="Times" w:hAnsi="Times" w:cs="Times"/>
        </w:rPr>
        <w:footnoteReference w:id="43"/>
      </w:r>
      <w:r>
        <w:rPr>
          <w:rFonts w:ascii="Times" w:hAnsi="Times" w:cs="Times"/>
        </w:rPr>
        <w:t xml:space="preserve"> However, this is not a case where no one has had the opportunity to speak on behalf of the relevant creatures or environmental interests. The Alliance has fully participated in the relevant process. The real issue is not whether the case for the interests championed by the Alliance should be heard but rather whether, having failed to persuade those lawfully entitled to take the decision on this matter, the Alliance is entitled to use the judicial process as a means to obtain a further opportunity to press for a decision favourable to those concerns. All those interested in the decision had ample opportunity to be heard in the process leading up to the decision taken by the Government. The Alliance has </w:t>
      </w:r>
      <w:proofErr w:type="gramStart"/>
      <w:r>
        <w:rPr>
          <w:rFonts w:ascii="Times" w:hAnsi="Times" w:cs="Times"/>
        </w:rPr>
        <w:t>no greater expertise nor</w:t>
      </w:r>
      <w:proofErr w:type="gramEnd"/>
      <w:r>
        <w:rPr>
          <w:rFonts w:ascii="Times" w:hAnsi="Times" w:cs="Times"/>
        </w:rPr>
        <w:t xml:space="preserve"> any greater interest in this matter than a range of participants in the original decision-making process. To allow the Alliance’s claim for judicial </w:t>
      </w:r>
      <w:r>
        <w:rPr>
          <w:rFonts w:ascii="Times" w:hAnsi="Times" w:cs="Times"/>
        </w:rPr>
        <w:lastRenderedPageBreak/>
        <w:t>review to proceed is to provide the Alliance, and only the Alliance, an extra opportunity to promote its agenda that has not been afforded to those other participants</w:t>
      </w:r>
      <w:bookmarkStart w:id="2" w:name="_GoBack"/>
      <w:bookmarkEnd w:id="2"/>
      <w:r>
        <w:rPr>
          <w:rFonts w:ascii="Times" w:hAnsi="Times" w:cs="Times"/>
        </w:rPr>
        <w:t>.</w:t>
      </w:r>
    </w:p>
    <w:p w:rsidR="00FC550C" w:rsidRDefault="00FC550C" w:rsidP="00FC550C">
      <w:pPr>
        <w:pStyle w:val="a3"/>
        <w:numPr>
          <w:ilvl w:val="0"/>
          <w:numId w:val="6"/>
        </w:numPr>
        <w:spacing w:after="200" w:line="360" w:lineRule="auto"/>
        <w:contextualSpacing w:val="0"/>
        <w:jc w:val="both"/>
      </w:pPr>
      <w:r>
        <w:t xml:space="preserve">The proper forum for addressing the Alliance’s concerns was and is political, for instance through consultations with the Government. In this case, there were extensive consultations on the environmental impact of the proposed high-speed railway, consultations in which the applicant participated fully.  The fact that the Government, after careful consideration, has not accepted the Alliance’s view of the best way to balance competing environmental concerns should not result in judicial review. Accordingly, it is submitted that the court should dismiss the Alliance’s application for standing for judicial review because it does not have sufficient interest pursuant to </w:t>
      </w:r>
      <w:proofErr w:type="gramStart"/>
      <w:r>
        <w:t>s.31(</w:t>
      </w:r>
      <w:proofErr w:type="gramEnd"/>
      <w:r>
        <w:t xml:space="preserve">3) Senior Courts Act 1981. </w:t>
      </w:r>
    </w:p>
    <w:p w:rsidR="00FC550C" w:rsidRDefault="00FC550C" w:rsidP="00FC550C">
      <w:pPr>
        <w:spacing w:line="360" w:lineRule="auto"/>
        <w:jc w:val="both"/>
        <w:rPr>
          <w:i/>
        </w:rPr>
      </w:pPr>
    </w:p>
    <w:p w:rsidR="00FC550C" w:rsidRDefault="00FC550C" w:rsidP="00FC550C">
      <w:pPr>
        <w:spacing w:line="360" w:lineRule="auto"/>
        <w:jc w:val="both"/>
        <w:rPr>
          <w:i/>
        </w:rPr>
      </w:pPr>
      <w:r>
        <w:rPr>
          <w:i/>
        </w:rPr>
        <w:t xml:space="preserve">Consideration of Merits </w:t>
      </w:r>
    </w:p>
    <w:p w:rsidR="00FC550C" w:rsidRDefault="00FC550C" w:rsidP="00FC550C">
      <w:pPr>
        <w:pStyle w:val="a3"/>
        <w:numPr>
          <w:ilvl w:val="0"/>
          <w:numId w:val="6"/>
        </w:numPr>
        <w:spacing w:after="200" w:line="360" w:lineRule="auto"/>
        <w:contextualSpacing w:val="0"/>
        <w:jc w:val="both"/>
      </w:pPr>
      <w:r>
        <w:t xml:space="preserve">Even if the Alliance is found to have sufficient interest, and the court does not accept that at least in regard to organizations which have participated heavily in Government consultation processes, the historically more restrictive approach to standing should be </w:t>
      </w:r>
      <w:proofErr w:type="gramStart"/>
      <w:r>
        <w:t>preferred,</w:t>
      </w:r>
      <w:proofErr w:type="gramEnd"/>
      <w:r>
        <w:t xml:space="preserve"> the court should refuse to grant standing based on a consideration of the merits of the case. In the exercise of its discretion, the court should briefly consider the merits of the claim. The court should also consider the nature of the power, the alleged breach and the subject matter of the claim.</w:t>
      </w:r>
      <w:r w:rsidRPr="003B7C06">
        <w:rPr>
          <w:vertAlign w:val="superscript"/>
        </w:rPr>
        <w:footnoteReference w:id="44"/>
      </w:r>
      <w:r>
        <w:t xml:space="preserve"> Moreover, the court might consider the relevant expertise of the applicant.</w:t>
      </w:r>
      <w:r>
        <w:rPr>
          <w:rStyle w:val="a7"/>
        </w:rPr>
        <w:footnoteReference w:id="45"/>
      </w:r>
      <w:r>
        <w:t xml:space="preserve"> Finally, the presence of parties who are more suitable to bring a judicial review might also be relevant.</w:t>
      </w:r>
      <w:r>
        <w:rPr>
          <w:rStyle w:val="a7"/>
        </w:rPr>
        <w:footnoteReference w:id="46"/>
      </w:r>
      <w:r>
        <w:t xml:space="preserve">  </w:t>
      </w:r>
    </w:p>
    <w:p w:rsidR="00FC550C" w:rsidRDefault="00FC550C" w:rsidP="00FC550C">
      <w:pPr>
        <w:pStyle w:val="a3"/>
        <w:numPr>
          <w:ilvl w:val="0"/>
          <w:numId w:val="6"/>
        </w:numPr>
        <w:spacing w:after="200" w:line="360" w:lineRule="auto"/>
        <w:contextualSpacing w:val="0"/>
        <w:jc w:val="both"/>
      </w:pPr>
      <w:r>
        <w:t xml:space="preserve">The first important consideration is the merits of the judicial review. While this does not require a full discussion of the substantive grounds for judicial review, </w:t>
      </w:r>
      <w:r>
        <w:lastRenderedPageBreak/>
        <w:t>the issues of standing and merits cannot be completely divorced.</w:t>
      </w:r>
      <w:r>
        <w:rPr>
          <w:rStyle w:val="a7"/>
        </w:rPr>
        <w:footnoteReference w:id="47"/>
      </w:r>
      <w:r>
        <w:t xml:space="preserve"> In this case, the applicant claims that the Secretary of State acted illegally. In the alternative, the applicant claims that the Secretary of State acted in a way that was so unreasonable that no reasonable Secretary of State would have acted in the same way. </w:t>
      </w:r>
    </w:p>
    <w:p w:rsidR="00FC550C" w:rsidRPr="00693AB3" w:rsidRDefault="00FC550C" w:rsidP="00FC550C">
      <w:pPr>
        <w:pStyle w:val="a3"/>
        <w:numPr>
          <w:ilvl w:val="0"/>
          <w:numId w:val="6"/>
        </w:numPr>
        <w:spacing w:after="200" w:line="360" w:lineRule="auto"/>
        <w:contextualSpacing w:val="0"/>
        <w:jc w:val="both"/>
      </w:pPr>
      <w:r>
        <w:t xml:space="preserve">According to </w:t>
      </w:r>
      <w:proofErr w:type="gramStart"/>
      <w:r>
        <w:t>s.27(</w:t>
      </w:r>
      <w:proofErr w:type="gramEnd"/>
      <w:r>
        <w:t xml:space="preserve">2) Transport Act 2013 (fictional), the Secretary of State has to have due regard to the need to protect the environment and to preserve biodiversity when making a compulsory purchase. In this case, the Secretary of State made an assessment and decided that the environment would be protected because the high-speed railway would help to stem the increase in global warming and climate change. Based on research conducted by the </w:t>
      </w:r>
      <w:proofErr w:type="spellStart"/>
      <w:r>
        <w:t>Center</w:t>
      </w:r>
      <w:proofErr w:type="spellEnd"/>
      <w:r>
        <w:t xml:space="preserve"> for International Climate and Environmental Research, a single car driver might result in the emission of five times as much carbon dioxide as he would incur if he took the train.</w:t>
      </w:r>
      <w:r>
        <w:rPr>
          <w:rStyle w:val="a7"/>
        </w:rPr>
        <w:footnoteReference w:id="48"/>
      </w:r>
      <w:r>
        <w:t xml:space="preserve"> This proves that there are real environmental benefits to the construction of the railway. While, after lengthy consultations, the Secretary of State has considered the Alliance’s concerns about the potential extinction of up to two amphibian species, he has balanced the long-term benefit with the short-term impact and decided to make the compulsory purchase. Since there might be a range of decisions that honest and reasonable people can reach, the courts should defer to the Secretary of State’s decision. As Lord Green MR rightly held, a person who argues that an executive decision is unreasonable</w:t>
      </w:r>
      <w:r w:rsidRPr="00D67B0D">
        <w:t xml:space="preserve"> ‘is really saying that the ultimate arbiter of what is and is not reasonable is the court and not the local authority. It is just there, it seems to me, that the argument breaks down. It is clear that the local authority are entrusted by Parliament with the decision on a matter which the knowledge and experience of that authority can best be trusted to deal with’.</w:t>
      </w:r>
      <w:r>
        <w:rPr>
          <w:rStyle w:val="a7"/>
        </w:rPr>
        <w:footnoteReference w:id="49"/>
      </w:r>
      <w:r>
        <w:t xml:space="preserve"> This reasoning in relation to local authorities applies equally to the decision by the Secretary of State. </w:t>
      </w:r>
    </w:p>
    <w:p w:rsidR="00FC550C" w:rsidRDefault="00FC550C" w:rsidP="00FC550C">
      <w:pPr>
        <w:pStyle w:val="a3"/>
        <w:numPr>
          <w:ilvl w:val="0"/>
          <w:numId w:val="6"/>
        </w:numPr>
        <w:spacing w:after="200" w:line="360" w:lineRule="auto"/>
        <w:contextualSpacing w:val="0"/>
        <w:jc w:val="both"/>
      </w:pPr>
      <w:r>
        <w:lastRenderedPageBreak/>
        <w:t xml:space="preserve">Ultimately, the purchase cannot be </w:t>
      </w:r>
      <w:r w:rsidRPr="002B3D14">
        <w:rPr>
          <w:i/>
        </w:rPr>
        <w:t xml:space="preserve">ultra </w:t>
      </w:r>
      <w:proofErr w:type="spellStart"/>
      <w:r w:rsidRPr="002B3D14">
        <w:rPr>
          <w:i/>
        </w:rPr>
        <w:t>vires</w:t>
      </w:r>
      <w:proofErr w:type="spellEnd"/>
      <w:r>
        <w:t xml:space="preserve"> because the Secretary of State, pursuant to </w:t>
      </w:r>
      <w:proofErr w:type="gramStart"/>
      <w:r>
        <w:t>s.27(</w:t>
      </w:r>
      <w:proofErr w:type="gramEnd"/>
      <w:r>
        <w:t xml:space="preserve">2) Transport Act 2013, had due regard to the effects on the environment and biodiversity by focusing on the long-term environmental impacts of the compulsory purchase. In addition, the Secretary of State’s exercise of discretion cannot be said to be so unreasonable that no reasonable Secretary of State would adopt the action because he reasonably balanced the long-term environmental benefits with any short-term adverse environmental impact. Therefore, it is unlikely that a court would find the Secretary of State breached his duty and this should militate against the grant of standing.  </w:t>
      </w:r>
    </w:p>
    <w:p w:rsidR="00FC550C" w:rsidRDefault="00FC550C" w:rsidP="00FC550C">
      <w:pPr>
        <w:pStyle w:val="a3"/>
        <w:numPr>
          <w:ilvl w:val="0"/>
          <w:numId w:val="6"/>
        </w:numPr>
        <w:spacing w:after="200" w:line="360" w:lineRule="auto"/>
        <w:contextualSpacing w:val="0"/>
        <w:jc w:val="both"/>
      </w:pPr>
      <w:r>
        <w:t xml:space="preserve">Another consideration for the court is the nature and consequences of the alleged breach. In this case, the applicant claims that the Secretary of State for Transport breached his duty to ensure that biodiversity is preserved and the environment is protected when making a compulsory acquisition (s.27 Transport Act 2013). In other words, the nature of the alleged breach is that the Secretary of State has failed to safeguard environmental concerns. Biodiversity, however, can be protected in a number of ways – both specific (for instance protecting the biodiversity of a particular moor), and general (protecting biodiversity through a decrease in global warming – which is resulting in infinitely more extinctions than the planned railway project).  It is submitted that the Secretary of State’s finely balanced decision on environmental impact (extinction of up to two species in a particular moor as weighed against the long term impact, including as regards the risk of further extinctions, of global warming generally) cannot be characterized as an abuse of public power. Consequently, the nature of the breach suggests that the court should not grant permission for a judicial review. </w:t>
      </w:r>
    </w:p>
    <w:p w:rsidR="00FC550C" w:rsidRDefault="00FC550C" w:rsidP="00FC550C">
      <w:pPr>
        <w:pStyle w:val="a3"/>
        <w:numPr>
          <w:ilvl w:val="0"/>
          <w:numId w:val="6"/>
        </w:numPr>
        <w:spacing w:after="200" w:line="360" w:lineRule="auto"/>
        <w:contextualSpacing w:val="0"/>
        <w:jc w:val="both"/>
      </w:pPr>
      <w:r>
        <w:t xml:space="preserve"> Furthermore, the consequences of the alleged breach are not severe in this situation. According to the WWF, one of the world’s largest conservation organizations, about 200 to 2000 species become extinct every year. These figures are based on a conservative estimate. On the generous version of the estimate, between 10,000 and 100,000 species become extinct each year.</w:t>
      </w:r>
      <w:r>
        <w:rPr>
          <w:rStyle w:val="a7"/>
        </w:rPr>
        <w:footnoteReference w:id="50"/>
      </w:r>
      <w:r>
        <w:t xml:space="preserve"> In light of the scale of extinction that takes place each year globally, the Secretary of </w:t>
      </w:r>
      <w:r>
        <w:lastRenderedPageBreak/>
        <w:t xml:space="preserve">State’s decision to balance the extinction of up to two amphibian species as against the extinction rate resulting from global warming in general is not an unreasonable one (and certainly not </w:t>
      </w:r>
      <w:proofErr w:type="spellStart"/>
      <w:r w:rsidRPr="00C62298">
        <w:rPr>
          <w:i/>
        </w:rPr>
        <w:t>Wednesbury</w:t>
      </w:r>
      <w:proofErr w:type="spellEnd"/>
      <w:r w:rsidRPr="00C62298">
        <w:rPr>
          <w:i/>
        </w:rPr>
        <w:t xml:space="preserve"> </w:t>
      </w:r>
      <w:r>
        <w:t xml:space="preserve">unreasonable).  It would therefore not be a prudent use of the court’s resources to grant standing for the judicial review to ascertain whether the Secretary of State for Transport had breached his duties. To safeguard the efficient use of court resources, the court should refuse permission in this situation.  </w:t>
      </w:r>
    </w:p>
    <w:p w:rsidR="00FC550C" w:rsidRDefault="00FC550C" w:rsidP="00FC550C">
      <w:pPr>
        <w:pStyle w:val="a3"/>
        <w:numPr>
          <w:ilvl w:val="0"/>
          <w:numId w:val="6"/>
        </w:numPr>
        <w:spacing w:after="200" w:line="360" w:lineRule="auto"/>
        <w:contextualSpacing w:val="0"/>
        <w:jc w:val="both"/>
      </w:pPr>
      <w:r>
        <w:t xml:space="preserve">Moreover, the court should consider the relevant expertise of the Alliance. </w:t>
      </w:r>
      <w:r>
        <w:rPr>
          <w:i/>
        </w:rPr>
        <w:t>R v Inspectorate of Pollution, ex parte Greenpeace (No. 2)</w:t>
      </w:r>
      <w:r>
        <w:t xml:space="preserve"> was one of the circumstances where standing was granted for environmental issues. Unlike the present situation, the repercussions in that case were very severe because the case dealt with the discharge of radioactive waste without relevant permission. Furthermore, </w:t>
      </w:r>
      <w:proofErr w:type="spellStart"/>
      <w:r>
        <w:t>Otton</w:t>
      </w:r>
      <w:proofErr w:type="spellEnd"/>
      <w:r>
        <w:t xml:space="preserve"> J held that Greenpeace should be granted standing because it could assist the court with its ‘national and international standing’.</w:t>
      </w:r>
      <w:r>
        <w:rPr>
          <w:rStyle w:val="a7"/>
        </w:rPr>
        <w:footnoteReference w:id="51"/>
      </w:r>
      <w:r>
        <w:t xml:space="preserve"> In this case, the Alliance lacks the credentials that Greenpeace has. </w:t>
      </w:r>
      <w:proofErr w:type="spellStart"/>
      <w:r>
        <w:t>Otton</w:t>
      </w:r>
      <w:proofErr w:type="spellEnd"/>
      <w:r>
        <w:t xml:space="preserve"> J noted that Greenpeace has been accredited with consultative status with the United Nations Economic and Social Council, including the United Nations General Assembly. In contrast, the Environmental Alliance for North Yorkshire, as suggested by its name, does not have the same international expertise as Greenpeace. All its members reside in Yorkshire and are ‘rambling amphibian spotters’. This indicates that their interest in the environment is recreational in nature and also that they do not have any professional expertise to assist the court with. Furthermore, while Greenpeace had over 5 million supporters worldwide,</w:t>
      </w:r>
      <w:r>
        <w:rPr>
          <w:rStyle w:val="a7"/>
        </w:rPr>
        <w:footnoteReference w:id="52"/>
      </w:r>
      <w:r>
        <w:t xml:space="preserve"> the Alliance only has 850 members based within the United Kingdom. Therefore, the Alliance lacks the expertise required to assist the court and it would not be appropriate to grant it standing in this situation. </w:t>
      </w:r>
    </w:p>
    <w:p w:rsidR="00FC550C" w:rsidRDefault="00FC550C" w:rsidP="00FC550C">
      <w:pPr>
        <w:pStyle w:val="a3"/>
        <w:numPr>
          <w:ilvl w:val="0"/>
          <w:numId w:val="6"/>
        </w:numPr>
        <w:spacing w:after="200" w:line="360" w:lineRule="auto"/>
        <w:contextualSpacing w:val="0"/>
        <w:jc w:val="both"/>
      </w:pPr>
      <w:r>
        <w:t xml:space="preserve">Finally, standing should be refused because there are more appropriate parties to bring the judicial review. In </w:t>
      </w:r>
      <w:r>
        <w:rPr>
          <w:i/>
        </w:rPr>
        <w:t>Bateman</w:t>
      </w:r>
      <w:r>
        <w:t xml:space="preserve">, there was an order for taxation of the solicitor’s costs. Even though the solicitor did not want to challenge the decision, his client decided to bring a judicial review to contest the order. It was held that </w:t>
      </w:r>
      <w:r>
        <w:lastRenderedPageBreak/>
        <w:t>the client did not have sufficient interest to bring the judicial review.</w:t>
      </w:r>
      <w:r>
        <w:rPr>
          <w:rStyle w:val="a7"/>
        </w:rPr>
        <w:footnoteReference w:id="53"/>
      </w:r>
      <w:r>
        <w:t xml:space="preserve"> This decision to refuse standing should be commended because the solicitor should be the proper person bringing the judicial review. In this case,</w:t>
      </w:r>
      <w:r>
        <w:rPr>
          <w:i/>
        </w:rPr>
        <w:t xml:space="preserve"> </w:t>
      </w:r>
      <w:r>
        <w:t xml:space="preserve">the trustees of the charitable trust are the appropriate parties to bring a judicial review because they are the owners of the land and have been personally affected by the compulsory purchase. Since even the trustees have decided against bringing a judicial review, it is difficult to see why the Alliance, as a third party, should be allowed to bring a judicial review. </w:t>
      </w:r>
    </w:p>
    <w:p w:rsidR="00FC550C" w:rsidRPr="003B7C06" w:rsidRDefault="00FC550C" w:rsidP="00FC550C">
      <w:pPr>
        <w:pStyle w:val="a3"/>
        <w:numPr>
          <w:ilvl w:val="0"/>
          <w:numId w:val="6"/>
        </w:numPr>
        <w:spacing w:after="200" w:line="360" w:lineRule="auto"/>
        <w:contextualSpacing w:val="0"/>
        <w:jc w:val="both"/>
      </w:pPr>
      <w:r>
        <w:t xml:space="preserve">Overall, even if the Alliance were found to have a sufficient interest in the judicial review, the court should exercise its discretion and hold that standing for the Alliance, which participated fully in the political process through which the challenged decision was arrived at, is an inefficient use of the Court’s resources. Furthermore, the Court should not grant the Alliance the required standing to bring a judicial review because (1) the courts are unlikely to find that there was a breach, (2) the Alliance, unlike Greenpeace, lacks the expertise to assist the court and (3) the trustees who own the land are the proper applicants in such a situation. Accordingly, it would be an inefficient use of the court’s resources to give the Alliance standing to bring a judicial review. </w:t>
      </w:r>
    </w:p>
    <w:p w:rsidR="00FC550C" w:rsidRDefault="00FC550C" w:rsidP="00FC550C">
      <w:pPr>
        <w:spacing w:line="360" w:lineRule="auto"/>
        <w:jc w:val="both"/>
        <w:rPr>
          <w:i/>
        </w:rPr>
      </w:pPr>
    </w:p>
    <w:p w:rsidR="00FC550C" w:rsidRDefault="00FC550C" w:rsidP="00FC550C">
      <w:pPr>
        <w:spacing w:line="360" w:lineRule="auto"/>
        <w:jc w:val="both"/>
        <w:rPr>
          <w:i/>
        </w:rPr>
      </w:pPr>
      <w:r>
        <w:rPr>
          <w:i/>
        </w:rPr>
        <w:t xml:space="preserve">Good Faith </w:t>
      </w:r>
    </w:p>
    <w:p w:rsidR="00FC550C" w:rsidRDefault="00FC550C" w:rsidP="00FC550C">
      <w:pPr>
        <w:pStyle w:val="a3"/>
        <w:numPr>
          <w:ilvl w:val="0"/>
          <w:numId w:val="6"/>
        </w:numPr>
        <w:spacing w:after="200" w:line="360" w:lineRule="auto"/>
        <w:contextualSpacing w:val="0"/>
        <w:jc w:val="both"/>
      </w:pPr>
      <w:r>
        <w:t>Thirdly, it is submitted that the Alliance should not be granted standing because it lacks good faith in bringing the judicial review. It is well accepted that a person who brings a judicial review for an improper purpose will be refused standing.</w:t>
      </w:r>
      <w:r w:rsidRPr="0094739A">
        <w:rPr>
          <w:vertAlign w:val="superscript"/>
        </w:rPr>
        <w:footnoteReference w:id="54"/>
      </w:r>
      <w:r>
        <w:t xml:space="preserve"> In the Court of Appeal, Dyson LJ (as he was then) approved </w:t>
      </w:r>
      <w:proofErr w:type="spellStart"/>
      <w:r>
        <w:t>Sedley</w:t>
      </w:r>
      <w:proofErr w:type="spellEnd"/>
      <w:r>
        <w:t xml:space="preserve"> J’s judgment that the court had to ensure that ‘the claimant was not prompted by an ill-motive’.</w:t>
      </w:r>
      <w:r>
        <w:rPr>
          <w:rStyle w:val="a7"/>
        </w:rPr>
        <w:footnoteReference w:id="55"/>
      </w:r>
      <w:r>
        <w:t xml:space="preserve"> </w:t>
      </w:r>
    </w:p>
    <w:p w:rsidR="00FC550C" w:rsidRDefault="00FC550C" w:rsidP="00FC550C">
      <w:pPr>
        <w:pStyle w:val="a3"/>
        <w:numPr>
          <w:ilvl w:val="0"/>
          <w:numId w:val="6"/>
        </w:numPr>
        <w:spacing w:after="200" w:line="360" w:lineRule="auto"/>
        <w:contextualSpacing w:val="0"/>
        <w:jc w:val="both"/>
      </w:pPr>
      <w:r>
        <w:t xml:space="preserve">It is clear that the mere receipt of funding for litigation does not prevent the good faith required for a judicial review. Nevertheless, it is submitted that the receipt </w:t>
      </w:r>
      <w:r>
        <w:lastRenderedPageBreak/>
        <w:t xml:space="preserve">of litigation funding from a third party who has an economic interest in the outcome of the judicial review might undermine the good faith of the applicant. Firstly, it will often be difficult to ascertain whether the applicant would have brought the claim without the litigation funding. In other words, there is always a danger of the applicant being used by the third party to bring a judicial review in order to further the third party’s economic interest. This would amount to an abuse of process and should not be allowed. Secondly, the presence of a third party sponsoring the litigation might affect the way the litigation is conducted. Given that the party who provides the resources will inevitably have some control over the approach adopted for litigation, the applicant will no longer be in a position to fully control the interests represented and protected by the application for judicial review. This is especially detrimental with regard to public interest groups because they might have to balance the interests of the sponsor and their personal agenda in promoting the public interest. This is particularly relevant in this case because the economic interests of </w:t>
      </w:r>
      <w:proofErr w:type="spellStart"/>
      <w:r>
        <w:t>SuperBus</w:t>
      </w:r>
      <w:proofErr w:type="spellEnd"/>
      <w:r>
        <w:t xml:space="preserve"> PLC run counter to the very environmental objectives that the Government is seeking to achieve through the construction of the railway. Given that the commercial motivations of the third party will invariably affect the conduct of the judicial review, the fact that the applicant is sponsored by the third party should at least cast some doubt on the suitability of the applicant’s standing for judicial review. </w:t>
      </w:r>
    </w:p>
    <w:p w:rsidR="00FC550C" w:rsidRDefault="00FC550C" w:rsidP="00FC550C">
      <w:pPr>
        <w:pStyle w:val="a3"/>
        <w:numPr>
          <w:ilvl w:val="0"/>
          <w:numId w:val="6"/>
        </w:numPr>
        <w:spacing w:after="200" w:line="360" w:lineRule="auto"/>
        <w:contextualSpacing w:val="0"/>
        <w:jc w:val="both"/>
      </w:pPr>
      <w:r>
        <w:t xml:space="preserve">In this case, </w:t>
      </w:r>
      <w:proofErr w:type="spellStart"/>
      <w:r>
        <w:t>SuperBus</w:t>
      </w:r>
      <w:proofErr w:type="spellEnd"/>
      <w:r>
        <w:t xml:space="preserve"> PLC has agreed to sponsor half of the Alliance’s litigation costs. </w:t>
      </w:r>
      <w:proofErr w:type="spellStart"/>
      <w:r>
        <w:t>SuperBus</w:t>
      </w:r>
      <w:proofErr w:type="spellEnd"/>
      <w:r>
        <w:t xml:space="preserve"> PLC clearly has an interest in preventing the construction of the railway because the high-speed railway will reduce the number of people who will take buses from London to Manchester. Thus, they are likely to be adversely affected by the high-speed railway, and they understandably have an interest in using the courts to prevent the construction of the railway. As the Alliance has associated itself with </w:t>
      </w:r>
      <w:proofErr w:type="spellStart"/>
      <w:r>
        <w:t>SuperBus</w:t>
      </w:r>
      <w:proofErr w:type="spellEnd"/>
      <w:r>
        <w:t xml:space="preserve"> PLC, it is submitted that the Alliance does not have the requisite good faith to have standing for the judicial review. As argued above, it is not clear that the Alliance would definitely have brought the action without the sponsorship. More importantly, the sponsorship results in </w:t>
      </w:r>
      <w:proofErr w:type="spellStart"/>
      <w:r>
        <w:t>SuperBus</w:t>
      </w:r>
      <w:proofErr w:type="spellEnd"/>
      <w:r>
        <w:t xml:space="preserve"> PLC having some control over the judicial review and the dominant purpose of the judicial review might no longer be for the public interest. Accordingly, it is </w:t>
      </w:r>
      <w:r>
        <w:lastRenderedPageBreak/>
        <w:t xml:space="preserve">submitted that the court should not grant standing because </w:t>
      </w:r>
      <w:proofErr w:type="spellStart"/>
      <w:r>
        <w:t>SuperBus</w:t>
      </w:r>
      <w:proofErr w:type="spellEnd"/>
      <w:r>
        <w:t xml:space="preserve"> PLC’s sponsorship might result in the judicial review being an abuse of process for </w:t>
      </w:r>
      <w:proofErr w:type="spellStart"/>
      <w:r>
        <w:t>SuperBus</w:t>
      </w:r>
      <w:proofErr w:type="spellEnd"/>
      <w:r>
        <w:t xml:space="preserve"> PLC’s economic benefit. </w:t>
      </w:r>
    </w:p>
    <w:p w:rsidR="00FC550C" w:rsidRPr="00E859A7" w:rsidRDefault="00FC550C" w:rsidP="00FC550C">
      <w:pPr>
        <w:spacing w:line="360" w:lineRule="auto"/>
        <w:jc w:val="both"/>
      </w:pPr>
    </w:p>
    <w:p w:rsidR="00FC550C" w:rsidRPr="00712E6C" w:rsidRDefault="00FC550C" w:rsidP="00FC550C">
      <w:pPr>
        <w:spacing w:line="360" w:lineRule="auto"/>
        <w:jc w:val="both"/>
        <w:rPr>
          <w:b/>
          <w:u w:val="single"/>
        </w:rPr>
      </w:pPr>
      <w:r>
        <w:rPr>
          <w:b/>
          <w:u w:val="single"/>
        </w:rPr>
        <w:t xml:space="preserve">C. </w:t>
      </w:r>
      <w:r w:rsidRPr="00712E6C">
        <w:rPr>
          <w:b/>
          <w:u w:val="single"/>
        </w:rPr>
        <w:t>Freedom of Information Act 2000</w:t>
      </w:r>
    </w:p>
    <w:p w:rsidR="00FC550C" w:rsidRDefault="00FC550C" w:rsidP="00FC550C">
      <w:pPr>
        <w:pStyle w:val="a3"/>
        <w:numPr>
          <w:ilvl w:val="0"/>
          <w:numId w:val="6"/>
        </w:numPr>
        <w:spacing w:after="200" w:line="360" w:lineRule="auto"/>
        <w:contextualSpacing w:val="0"/>
        <w:jc w:val="both"/>
      </w:pPr>
      <w:r>
        <w:t>In 2000, the Westminster Parliament passed the Freedom of Information Act 2000 (‘FOIA’), a legislative act that provides general access to information. This follows the approach taken in many other countries like the United States of America,</w:t>
      </w:r>
      <w:r>
        <w:rPr>
          <w:rStyle w:val="a7"/>
        </w:rPr>
        <w:footnoteReference w:id="56"/>
      </w:r>
      <w:r>
        <w:t xml:space="preserve"> France</w:t>
      </w:r>
      <w:r>
        <w:rPr>
          <w:rStyle w:val="a7"/>
        </w:rPr>
        <w:footnoteReference w:id="57"/>
      </w:r>
      <w:r>
        <w:t xml:space="preserve"> and Australia.</w:t>
      </w:r>
      <w:r>
        <w:rPr>
          <w:rStyle w:val="a7"/>
        </w:rPr>
        <w:footnoteReference w:id="58"/>
      </w:r>
      <w:r>
        <w:t xml:space="preserve"> This Act provides an indication of the general importance placed on the right of citizens to obtain appropriate information. The reasons for freedom of information are threefold. It helps to promote transparency and accountability of the Government.</w:t>
      </w:r>
      <w:r>
        <w:rPr>
          <w:rStyle w:val="a7"/>
        </w:rPr>
        <w:footnoteReference w:id="59"/>
      </w:r>
      <w:r>
        <w:t xml:space="preserve"> Furthermore, it encourages citizens to be actively involved in the democratic decision-making process.</w:t>
      </w:r>
      <w:r>
        <w:rPr>
          <w:rStyle w:val="a7"/>
        </w:rPr>
        <w:footnoteReference w:id="60"/>
      </w:r>
      <w:r>
        <w:t xml:space="preserve"> Finally, it promotes the view that citizens should be treated as responsible individuals and not subjects who are told what to do.</w:t>
      </w:r>
      <w:r>
        <w:rPr>
          <w:rStyle w:val="a7"/>
        </w:rPr>
        <w:footnoteReference w:id="61"/>
      </w:r>
    </w:p>
    <w:p w:rsidR="00FC550C" w:rsidRDefault="00FC550C" w:rsidP="00FC550C">
      <w:pPr>
        <w:pStyle w:val="a3"/>
        <w:numPr>
          <w:ilvl w:val="0"/>
          <w:numId w:val="6"/>
        </w:numPr>
        <w:spacing w:after="200" w:line="360" w:lineRule="auto"/>
        <w:contextualSpacing w:val="0"/>
        <w:jc w:val="both"/>
      </w:pPr>
      <w:r>
        <w:t xml:space="preserve">However, it is important to note that there is no absolute right to information and the </w:t>
      </w:r>
      <w:r w:rsidRPr="00406C4F">
        <w:rPr>
          <w:i/>
        </w:rPr>
        <w:t>prima facie</w:t>
      </w:r>
      <w:r w:rsidRPr="00501D1D">
        <w:t xml:space="preserve"> </w:t>
      </w:r>
      <w:r>
        <w:t xml:space="preserve">right to information might be outweighed by other interests. This was clearly Parliament’s intention when it introduced the categories of Exempt Information in Part 2 of the FOIA. This approach is commendable as a matter of policy because it is impossible to have complete disclosure of information. For example, the public interest in transparency and accountability must be counter-balanced with the need to promote effective decision-making. </w:t>
      </w:r>
    </w:p>
    <w:p w:rsidR="00FC550C" w:rsidRDefault="00FC550C" w:rsidP="00FC550C">
      <w:pPr>
        <w:pStyle w:val="a3"/>
        <w:numPr>
          <w:ilvl w:val="0"/>
          <w:numId w:val="6"/>
        </w:numPr>
        <w:spacing w:after="200" w:line="360" w:lineRule="auto"/>
        <w:contextualSpacing w:val="0"/>
        <w:jc w:val="both"/>
      </w:pPr>
      <w:r>
        <w:t xml:space="preserve">The Alliance has requested the minutes and supporting documents of all the meetings where the compulsory acquisition was discussed within the Department of Transport. It is submitted that the Secretary of State for Transport did not have the obligation to provide the requested information </w:t>
      </w:r>
      <w:r>
        <w:lastRenderedPageBreak/>
        <w:t xml:space="preserve">because the meeting minutes and supporting documents were exempt information under </w:t>
      </w:r>
      <w:proofErr w:type="gramStart"/>
      <w:r>
        <w:t>ss.36(</w:t>
      </w:r>
      <w:proofErr w:type="gramEnd"/>
      <w:r>
        <w:t xml:space="preserve">2)(b)(ii), 36(2)(c) and 43(2) FOIA. The meeting minutes are exempt under </w:t>
      </w:r>
      <w:proofErr w:type="gramStart"/>
      <w:r>
        <w:t>ss.36(</w:t>
      </w:r>
      <w:proofErr w:type="gramEnd"/>
      <w:r>
        <w:t xml:space="preserve">2)(b)(ii) and 36(2)(c) FOIA because the disclosure might deter civil servants from expressing their opinions freely and from discussing confidential information during meetings. The public interest in ensuring proper decision-making should outweigh the interest in transparency. Moreover, the supporting documents are exempt under </w:t>
      </w:r>
      <w:proofErr w:type="gramStart"/>
      <w:r>
        <w:t>s.43(</w:t>
      </w:r>
      <w:proofErr w:type="gramEnd"/>
      <w:r>
        <w:t xml:space="preserve">2) FOIA because the disclosure would result in competitors of relevant contractors learning about commercially sensitive bid information from parties contracting with the Government. This would adversely affect the commercial interests of the contractors and would also prevent the Government from getting the best prices in the future. Furthermore, there is public interest in ensuring that private companies are not </w:t>
      </w:r>
      <w:proofErr w:type="spellStart"/>
      <w:r>
        <w:t>disincentivised</w:t>
      </w:r>
      <w:proofErr w:type="spellEnd"/>
      <w:r>
        <w:t xml:space="preserve"> from contracting with the Government and that the Department of Transport is able to get the best value in its contracts. It is submitted that these interests should also outweigh any interest in disclosure. </w:t>
      </w:r>
    </w:p>
    <w:p w:rsidR="00FC550C" w:rsidRPr="007E08F8" w:rsidRDefault="00FC550C" w:rsidP="00FC550C">
      <w:pPr>
        <w:pStyle w:val="a3"/>
        <w:numPr>
          <w:ilvl w:val="0"/>
          <w:numId w:val="6"/>
        </w:numPr>
        <w:spacing w:after="200" w:line="360" w:lineRule="auto"/>
        <w:contextualSpacing w:val="0"/>
        <w:jc w:val="both"/>
        <w:rPr>
          <w:sz w:val="22"/>
          <w:szCs w:val="22"/>
        </w:rPr>
      </w:pPr>
      <w:r>
        <w:t>At the outset, it is acknowledged that the relevant exemptions are not absolute exemptions, and that the FOIA calls on the court to ascertain whether ‘the public interest in maintaining the exemption outweighs the public interest in disclosing the information’.</w:t>
      </w:r>
      <w:r>
        <w:rPr>
          <w:rStyle w:val="a7"/>
        </w:rPr>
        <w:footnoteReference w:id="62"/>
      </w:r>
      <w:r>
        <w:t xml:space="preserve">  It is submitted, however, that the public interest in non-disclosure should prevail in the instant case.  </w:t>
      </w:r>
    </w:p>
    <w:p w:rsidR="00FC550C" w:rsidRDefault="00FC550C" w:rsidP="00FC550C">
      <w:pPr>
        <w:pStyle w:val="a3"/>
        <w:numPr>
          <w:ilvl w:val="0"/>
          <w:numId w:val="6"/>
        </w:numPr>
        <w:spacing w:after="200" w:line="360" w:lineRule="auto"/>
        <w:contextualSpacing w:val="0"/>
        <w:jc w:val="both"/>
      </w:pPr>
      <w:r>
        <w:t xml:space="preserve">Firstly, it is submitted that the meeting minutes were exempt pursuant to </w:t>
      </w:r>
      <w:proofErr w:type="gramStart"/>
      <w:r>
        <w:t>ss.36(</w:t>
      </w:r>
      <w:proofErr w:type="gramEnd"/>
      <w:r>
        <w:t>2)(b)(ii) and 36(2)(c) FOIA. Section 36 FOIA provides that:</w:t>
      </w:r>
    </w:p>
    <w:p w:rsidR="00FC550C" w:rsidRPr="004B3F0C" w:rsidRDefault="00FC550C" w:rsidP="00FC550C">
      <w:pPr>
        <w:widowControl w:val="0"/>
        <w:autoSpaceDE w:val="0"/>
        <w:autoSpaceDN w:val="0"/>
        <w:adjustRightInd w:val="0"/>
        <w:spacing w:line="360" w:lineRule="auto"/>
        <w:ind w:left="1134" w:right="503"/>
        <w:jc w:val="both"/>
        <w:rPr>
          <w:sz w:val="22"/>
          <w:szCs w:val="22"/>
        </w:rPr>
      </w:pPr>
      <w:r>
        <w:rPr>
          <w:sz w:val="22"/>
          <w:szCs w:val="22"/>
        </w:rPr>
        <w:t>“</w:t>
      </w:r>
      <w:r w:rsidRPr="004B3F0C">
        <w:rPr>
          <w:sz w:val="22"/>
          <w:szCs w:val="22"/>
        </w:rPr>
        <w:t>Information to which this section applies is exempt information if, in the reasonable opinion of a qualified person, disclosure of the information under this Act—</w:t>
      </w:r>
    </w:p>
    <w:p w:rsidR="00FC550C" w:rsidRPr="004B3F0C" w:rsidRDefault="00FC550C" w:rsidP="00FC550C">
      <w:pPr>
        <w:widowControl w:val="0"/>
        <w:autoSpaceDE w:val="0"/>
        <w:autoSpaceDN w:val="0"/>
        <w:adjustRightInd w:val="0"/>
        <w:spacing w:line="360" w:lineRule="auto"/>
        <w:ind w:left="1134" w:right="503"/>
        <w:jc w:val="both"/>
        <w:rPr>
          <w:sz w:val="22"/>
          <w:szCs w:val="22"/>
        </w:rPr>
      </w:pPr>
      <w:r>
        <w:rPr>
          <w:sz w:val="22"/>
          <w:szCs w:val="22"/>
        </w:rPr>
        <w:tab/>
      </w:r>
      <w:r w:rsidRPr="004B3F0C">
        <w:rPr>
          <w:sz w:val="22"/>
          <w:szCs w:val="22"/>
        </w:rPr>
        <w:t>(a)</w:t>
      </w:r>
      <w:r>
        <w:rPr>
          <w:sz w:val="22"/>
          <w:szCs w:val="22"/>
        </w:rPr>
        <w:t xml:space="preserve"> </w:t>
      </w:r>
      <w:proofErr w:type="gramStart"/>
      <w:r w:rsidRPr="004B3F0C">
        <w:rPr>
          <w:sz w:val="22"/>
          <w:szCs w:val="22"/>
        </w:rPr>
        <w:t>would</w:t>
      </w:r>
      <w:proofErr w:type="gramEnd"/>
      <w:r w:rsidRPr="004B3F0C">
        <w:rPr>
          <w:sz w:val="22"/>
          <w:szCs w:val="22"/>
        </w:rPr>
        <w:t>, or would be likely to, prejudice—</w:t>
      </w:r>
    </w:p>
    <w:p w:rsidR="00FC550C" w:rsidRPr="004B3F0C" w:rsidRDefault="00FC550C" w:rsidP="00FC550C">
      <w:pPr>
        <w:widowControl w:val="0"/>
        <w:autoSpaceDE w:val="0"/>
        <w:autoSpaceDN w:val="0"/>
        <w:adjustRightInd w:val="0"/>
        <w:spacing w:line="360" w:lineRule="auto"/>
        <w:ind w:left="1134" w:right="503"/>
        <w:jc w:val="both"/>
        <w:rPr>
          <w:sz w:val="22"/>
          <w:szCs w:val="22"/>
        </w:rPr>
      </w:pPr>
      <w:r>
        <w:rPr>
          <w:sz w:val="22"/>
          <w:szCs w:val="22"/>
        </w:rPr>
        <w:tab/>
      </w:r>
      <w:r>
        <w:rPr>
          <w:sz w:val="22"/>
          <w:szCs w:val="22"/>
        </w:rPr>
        <w:tab/>
      </w:r>
      <w:r w:rsidRPr="004B3F0C">
        <w:rPr>
          <w:sz w:val="22"/>
          <w:szCs w:val="22"/>
        </w:rPr>
        <w:t>(</w:t>
      </w:r>
      <w:proofErr w:type="spellStart"/>
      <w:r w:rsidRPr="004B3F0C">
        <w:rPr>
          <w:sz w:val="22"/>
          <w:szCs w:val="22"/>
        </w:rPr>
        <w:t>i</w:t>
      </w:r>
      <w:proofErr w:type="spellEnd"/>
      <w:r w:rsidRPr="004B3F0C">
        <w:rPr>
          <w:sz w:val="22"/>
          <w:szCs w:val="22"/>
        </w:rPr>
        <w:t>)</w:t>
      </w:r>
      <w:r>
        <w:rPr>
          <w:sz w:val="22"/>
          <w:szCs w:val="22"/>
        </w:rPr>
        <w:t xml:space="preserve"> </w:t>
      </w:r>
      <w:proofErr w:type="gramStart"/>
      <w:r w:rsidRPr="004B3F0C">
        <w:rPr>
          <w:sz w:val="22"/>
          <w:szCs w:val="22"/>
        </w:rPr>
        <w:t>the</w:t>
      </w:r>
      <w:proofErr w:type="gramEnd"/>
      <w:r w:rsidRPr="004B3F0C">
        <w:rPr>
          <w:sz w:val="22"/>
          <w:szCs w:val="22"/>
        </w:rPr>
        <w:t xml:space="preserve"> maintenance of the convention of the collective </w:t>
      </w:r>
      <w:r>
        <w:rPr>
          <w:sz w:val="22"/>
          <w:szCs w:val="22"/>
        </w:rPr>
        <w:tab/>
      </w:r>
      <w:r>
        <w:rPr>
          <w:sz w:val="22"/>
          <w:szCs w:val="22"/>
        </w:rPr>
        <w:tab/>
      </w:r>
      <w:r>
        <w:rPr>
          <w:sz w:val="22"/>
          <w:szCs w:val="22"/>
        </w:rPr>
        <w:tab/>
      </w:r>
      <w:r w:rsidRPr="004B3F0C">
        <w:rPr>
          <w:sz w:val="22"/>
          <w:szCs w:val="22"/>
        </w:rPr>
        <w:t>responsibility of Ministers of the Crown, or</w:t>
      </w:r>
    </w:p>
    <w:p w:rsidR="00FC550C" w:rsidRDefault="00FC550C" w:rsidP="00FC550C">
      <w:pPr>
        <w:widowControl w:val="0"/>
        <w:autoSpaceDE w:val="0"/>
        <w:autoSpaceDN w:val="0"/>
        <w:adjustRightInd w:val="0"/>
        <w:spacing w:line="360" w:lineRule="auto"/>
        <w:ind w:left="1134" w:right="503"/>
        <w:jc w:val="both"/>
        <w:rPr>
          <w:b/>
          <w:bCs/>
          <w:sz w:val="22"/>
          <w:szCs w:val="22"/>
        </w:rPr>
      </w:pPr>
      <w:r>
        <w:rPr>
          <w:sz w:val="22"/>
          <w:szCs w:val="22"/>
        </w:rPr>
        <w:tab/>
      </w:r>
      <w:r>
        <w:rPr>
          <w:sz w:val="22"/>
          <w:szCs w:val="22"/>
        </w:rPr>
        <w:tab/>
      </w:r>
      <w:r w:rsidRPr="004B3F0C">
        <w:rPr>
          <w:sz w:val="22"/>
          <w:szCs w:val="22"/>
        </w:rPr>
        <w:t>(ii)</w:t>
      </w:r>
      <w:r>
        <w:rPr>
          <w:sz w:val="22"/>
          <w:szCs w:val="22"/>
        </w:rPr>
        <w:t xml:space="preserve"> </w:t>
      </w:r>
      <w:proofErr w:type="gramStart"/>
      <w:r w:rsidRPr="004B3F0C">
        <w:rPr>
          <w:sz w:val="22"/>
          <w:szCs w:val="22"/>
        </w:rPr>
        <w:t>the</w:t>
      </w:r>
      <w:proofErr w:type="gramEnd"/>
      <w:r w:rsidRPr="004B3F0C">
        <w:rPr>
          <w:sz w:val="22"/>
          <w:szCs w:val="22"/>
        </w:rPr>
        <w:t xml:space="preserve"> work of the Executive Committee of the Northern </w:t>
      </w:r>
      <w:r>
        <w:rPr>
          <w:sz w:val="22"/>
          <w:szCs w:val="22"/>
        </w:rPr>
        <w:tab/>
      </w:r>
      <w:r>
        <w:rPr>
          <w:sz w:val="22"/>
          <w:szCs w:val="22"/>
        </w:rPr>
        <w:tab/>
      </w:r>
      <w:r w:rsidRPr="004B3F0C">
        <w:rPr>
          <w:sz w:val="22"/>
          <w:szCs w:val="22"/>
        </w:rPr>
        <w:t>Ireland Assembly, or</w:t>
      </w:r>
      <w:r>
        <w:rPr>
          <w:sz w:val="22"/>
          <w:szCs w:val="22"/>
        </w:rPr>
        <w:t xml:space="preserve"> </w:t>
      </w:r>
    </w:p>
    <w:p w:rsidR="00FC550C" w:rsidRPr="004B3F0C" w:rsidRDefault="00FC550C" w:rsidP="00FC550C">
      <w:pPr>
        <w:widowControl w:val="0"/>
        <w:autoSpaceDE w:val="0"/>
        <w:autoSpaceDN w:val="0"/>
        <w:adjustRightInd w:val="0"/>
        <w:spacing w:line="360" w:lineRule="auto"/>
        <w:ind w:left="1134" w:right="503"/>
        <w:jc w:val="both"/>
        <w:rPr>
          <w:sz w:val="22"/>
          <w:szCs w:val="22"/>
        </w:rPr>
      </w:pPr>
      <w:r>
        <w:rPr>
          <w:b/>
          <w:bCs/>
          <w:sz w:val="22"/>
          <w:szCs w:val="22"/>
        </w:rPr>
        <w:tab/>
      </w:r>
      <w:r>
        <w:rPr>
          <w:b/>
          <w:bCs/>
          <w:sz w:val="22"/>
          <w:szCs w:val="22"/>
        </w:rPr>
        <w:tab/>
      </w:r>
      <w:r w:rsidRPr="004B3F0C">
        <w:rPr>
          <w:sz w:val="22"/>
          <w:szCs w:val="22"/>
        </w:rPr>
        <w:t>(iii)</w:t>
      </w:r>
      <w:r>
        <w:rPr>
          <w:sz w:val="22"/>
          <w:szCs w:val="22"/>
        </w:rPr>
        <w:t xml:space="preserve"> </w:t>
      </w:r>
      <w:proofErr w:type="gramStart"/>
      <w:r w:rsidRPr="004B3F0C">
        <w:rPr>
          <w:sz w:val="22"/>
          <w:szCs w:val="22"/>
        </w:rPr>
        <w:t>the</w:t>
      </w:r>
      <w:proofErr w:type="gramEnd"/>
      <w:r w:rsidRPr="004B3F0C">
        <w:rPr>
          <w:sz w:val="22"/>
          <w:szCs w:val="22"/>
        </w:rPr>
        <w:t xml:space="preserve"> work of the Cabinet of the Welsh Assembly </w:t>
      </w:r>
      <w:r>
        <w:rPr>
          <w:sz w:val="22"/>
          <w:szCs w:val="22"/>
        </w:rPr>
        <w:tab/>
      </w:r>
      <w:r>
        <w:rPr>
          <w:sz w:val="22"/>
          <w:szCs w:val="22"/>
        </w:rPr>
        <w:tab/>
      </w:r>
      <w:r>
        <w:rPr>
          <w:sz w:val="22"/>
          <w:szCs w:val="22"/>
        </w:rPr>
        <w:lastRenderedPageBreak/>
        <w:tab/>
      </w:r>
      <w:r w:rsidRPr="004B3F0C">
        <w:rPr>
          <w:sz w:val="22"/>
          <w:szCs w:val="22"/>
        </w:rPr>
        <w:t>Government.</w:t>
      </w:r>
    </w:p>
    <w:p w:rsidR="00FC550C" w:rsidRPr="004B3F0C" w:rsidRDefault="00FC550C" w:rsidP="00FC550C">
      <w:pPr>
        <w:widowControl w:val="0"/>
        <w:autoSpaceDE w:val="0"/>
        <w:autoSpaceDN w:val="0"/>
        <w:adjustRightInd w:val="0"/>
        <w:spacing w:line="360" w:lineRule="auto"/>
        <w:ind w:left="1134" w:right="503"/>
        <w:jc w:val="both"/>
        <w:rPr>
          <w:sz w:val="22"/>
          <w:szCs w:val="22"/>
        </w:rPr>
      </w:pPr>
      <w:r>
        <w:rPr>
          <w:sz w:val="22"/>
          <w:szCs w:val="22"/>
        </w:rPr>
        <w:tab/>
      </w:r>
      <w:r w:rsidRPr="004B3F0C">
        <w:rPr>
          <w:sz w:val="22"/>
          <w:szCs w:val="22"/>
        </w:rPr>
        <w:t>(</w:t>
      </w:r>
      <w:proofErr w:type="gramStart"/>
      <w:r w:rsidRPr="004B3F0C">
        <w:rPr>
          <w:sz w:val="22"/>
          <w:szCs w:val="22"/>
        </w:rPr>
        <w:t>b</w:t>
      </w:r>
      <w:proofErr w:type="gramEnd"/>
      <w:r w:rsidRPr="004B3F0C">
        <w:rPr>
          <w:sz w:val="22"/>
          <w:szCs w:val="22"/>
        </w:rPr>
        <w:t>)</w:t>
      </w:r>
      <w:r>
        <w:rPr>
          <w:sz w:val="22"/>
          <w:szCs w:val="22"/>
        </w:rPr>
        <w:t xml:space="preserve"> </w:t>
      </w:r>
      <w:r w:rsidRPr="004B3F0C">
        <w:rPr>
          <w:sz w:val="22"/>
          <w:szCs w:val="22"/>
        </w:rPr>
        <w:t>would, or would be likely to, inhibit—</w:t>
      </w:r>
    </w:p>
    <w:p w:rsidR="00FC550C" w:rsidRPr="004B3F0C" w:rsidRDefault="00FC550C" w:rsidP="00FC550C">
      <w:pPr>
        <w:widowControl w:val="0"/>
        <w:autoSpaceDE w:val="0"/>
        <w:autoSpaceDN w:val="0"/>
        <w:adjustRightInd w:val="0"/>
        <w:spacing w:line="360" w:lineRule="auto"/>
        <w:ind w:left="1134" w:right="503"/>
        <w:jc w:val="both"/>
        <w:rPr>
          <w:sz w:val="22"/>
          <w:szCs w:val="22"/>
        </w:rPr>
      </w:pPr>
      <w:r>
        <w:rPr>
          <w:sz w:val="22"/>
          <w:szCs w:val="22"/>
        </w:rPr>
        <w:tab/>
      </w:r>
      <w:r>
        <w:rPr>
          <w:sz w:val="22"/>
          <w:szCs w:val="22"/>
        </w:rPr>
        <w:tab/>
      </w:r>
      <w:r w:rsidRPr="004B3F0C">
        <w:rPr>
          <w:sz w:val="22"/>
          <w:szCs w:val="22"/>
        </w:rPr>
        <w:t>(</w:t>
      </w:r>
      <w:proofErr w:type="spellStart"/>
      <w:r w:rsidRPr="004B3F0C">
        <w:rPr>
          <w:sz w:val="22"/>
          <w:szCs w:val="22"/>
        </w:rPr>
        <w:t>i</w:t>
      </w:r>
      <w:proofErr w:type="spellEnd"/>
      <w:r w:rsidRPr="004B3F0C">
        <w:rPr>
          <w:sz w:val="22"/>
          <w:szCs w:val="22"/>
        </w:rPr>
        <w:t>)</w:t>
      </w:r>
      <w:r>
        <w:rPr>
          <w:sz w:val="22"/>
          <w:szCs w:val="22"/>
        </w:rPr>
        <w:t xml:space="preserve"> </w:t>
      </w:r>
      <w:proofErr w:type="gramStart"/>
      <w:r w:rsidRPr="004B3F0C">
        <w:rPr>
          <w:sz w:val="22"/>
          <w:szCs w:val="22"/>
        </w:rPr>
        <w:t>the</w:t>
      </w:r>
      <w:proofErr w:type="gramEnd"/>
      <w:r w:rsidRPr="004B3F0C">
        <w:rPr>
          <w:sz w:val="22"/>
          <w:szCs w:val="22"/>
        </w:rPr>
        <w:t xml:space="preserve"> free and frank provision of advice, or</w:t>
      </w:r>
    </w:p>
    <w:p w:rsidR="00FC550C" w:rsidRPr="004B3F0C" w:rsidRDefault="00FC550C" w:rsidP="00FC550C">
      <w:pPr>
        <w:widowControl w:val="0"/>
        <w:autoSpaceDE w:val="0"/>
        <w:autoSpaceDN w:val="0"/>
        <w:adjustRightInd w:val="0"/>
        <w:spacing w:line="360" w:lineRule="auto"/>
        <w:ind w:left="1134" w:right="503"/>
        <w:jc w:val="both"/>
        <w:rPr>
          <w:sz w:val="22"/>
          <w:szCs w:val="22"/>
        </w:rPr>
      </w:pPr>
      <w:r>
        <w:rPr>
          <w:sz w:val="22"/>
          <w:szCs w:val="22"/>
        </w:rPr>
        <w:tab/>
      </w:r>
      <w:r>
        <w:rPr>
          <w:sz w:val="22"/>
          <w:szCs w:val="22"/>
        </w:rPr>
        <w:tab/>
      </w:r>
      <w:r w:rsidRPr="004B3F0C">
        <w:rPr>
          <w:sz w:val="22"/>
          <w:szCs w:val="22"/>
        </w:rPr>
        <w:t>(ii)</w:t>
      </w:r>
      <w:r>
        <w:rPr>
          <w:sz w:val="22"/>
          <w:szCs w:val="22"/>
        </w:rPr>
        <w:t xml:space="preserve"> </w:t>
      </w:r>
      <w:proofErr w:type="gramStart"/>
      <w:r w:rsidRPr="004B3F0C">
        <w:rPr>
          <w:sz w:val="22"/>
          <w:szCs w:val="22"/>
        </w:rPr>
        <w:t>the</w:t>
      </w:r>
      <w:proofErr w:type="gramEnd"/>
      <w:r w:rsidRPr="004B3F0C">
        <w:rPr>
          <w:sz w:val="22"/>
          <w:szCs w:val="22"/>
        </w:rPr>
        <w:t xml:space="preserve"> free and frank exchange of views for the purposes of </w:t>
      </w:r>
      <w:r>
        <w:rPr>
          <w:sz w:val="22"/>
          <w:szCs w:val="22"/>
        </w:rPr>
        <w:tab/>
      </w:r>
      <w:r>
        <w:rPr>
          <w:sz w:val="22"/>
          <w:szCs w:val="22"/>
        </w:rPr>
        <w:tab/>
      </w:r>
      <w:r w:rsidRPr="004B3F0C">
        <w:rPr>
          <w:sz w:val="22"/>
          <w:szCs w:val="22"/>
        </w:rPr>
        <w:t>deliberation, or</w:t>
      </w:r>
    </w:p>
    <w:p w:rsidR="00FC550C" w:rsidRDefault="00FC550C" w:rsidP="00FC550C">
      <w:pPr>
        <w:widowControl w:val="0"/>
        <w:autoSpaceDE w:val="0"/>
        <w:autoSpaceDN w:val="0"/>
        <w:adjustRightInd w:val="0"/>
        <w:spacing w:line="360" w:lineRule="auto"/>
        <w:ind w:left="1134" w:right="503"/>
        <w:jc w:val="both"/>
        <w:rPr>
          <w:sz w:val="22"/>
          <w:szCs w:val="22"/>
        </w:rPr>
      </w:pPr>
      <w:r>
        <w:rPr>
          <w:sz w:val="22"/>
          <w:szCs w:val="22"/>
        </w:rPr>
        <w:tab/>
      </w:r>
      <w:r w:rsidRPr="004B3F0C">
        <w:rPr>
          <w:sz w:val="22"/>
          <w:szCs w:val="22"/>
        </w:rPr>
        <w:t>(c)</w:t>
      </w:r>
      <w:r>
        <w:rPr>
          <w:sz w:val="22"/>
          <w:szCs w:val="22"/>
        </w:rPr>
        <w:t xml:space="preserve"> </w:t>
      </w:r>
      <w:proofErr w:type="gramStart"/>
      <w:r w:rsidRPr="004B3F0C">
        <w:rPr>
          <w:sz w:val="22"/>
          <w:szCs w:val="22"/>
        </w:rPr>
        <w:t>would</w:t>
      </w:r>
      <w:proofErr w:type="gramEnd"/>
      <w:r w:rsidRPr="004B3F0C">
        <w:rPr>
          <w:sz w:val="22"/>
          <w:szCs w:val="22"/>
        </w:rPr>
        <w:t xml:space="preserve"> otherwise prejudice, or would be likely otherwise to </w:t>
      </w:r>
      <w:r>
        <w:rPr>
          <w:sz w:val="22"/>
          <w:szCs w:val="22"/>
        </w:rPr>
        <w:tab/>
      </w:r>
      <w:r w:rsidRPr="004B3F0C">
        <w:rPr>
          <w:sz w:val="22"/>
          <w:szCs w:val="22"/>
        </w:rPr>
        <w:t>prejudice, the effec</w:t>
      </w:r>
      <w:r>
        <w:rPr>
          <w:sz w:val="22"/>
          <w:szCs w:val="22"/>
        </w:rPr>
        <w:t>tive conduct of public affairs.”</w:t>
      </w:r>
    </w:p>
    <w:p w:rsidR="00FC550C" w:rsidRDefault="00FC550C" w:rsidP="00FC550C">
      <w:pPr>
        <w:widowControl w:val="0"/>
        <w:autoSpaceDE w:val="0"/>
        <w:autoSpaceDN w:val="0"/>
        <w:adjustRightInd w:val="0"/>
        <w:spacing w:line="360" w:lineRule="auto"/>
        <w:ind w:left="1134" w:right="503"/>
        <w:jc w:val="both"/>
        <w:rPr>
          <w:sz w:val="22"/>
          <w:szCs w:val="22"/>
        </w:rPr>
      </w:pPr>
    </w:p>
    <w:p w:rsidR="00FC550C" w:rsidRPr="00B44A9E" w:rsidRDefault="00FC550C" w:rsidP="00FC550C">
      <w:pPr>
        <w:pStyle w:val="a3"/>
        <w:numPr>
          <w:ilvl w:val="0"/>
          <w:numId w:val="6"/>
        </w:numPr>
        <w:spacing w:after="200" w:line="360" w:lineRule="auto"/>
        <w:contextualSpacing w:val="0"/>
        <w:jc w:val="both"/>
        <w:rPr>
          <w:sz w:val="22"/>
          <w:szCs w:val="22"/>
        </w:rPr>
      </w:pPr>
      <w:r>
        <w:t xml:space="preserve">To determine whether the information should be exempt, the court should consider: </w:t>
      </w:r>
    </w:p>
    <w:p w:rsidR="00FC550C" w:rsidRDefault="00FC550C" w:rsidP="00FC550C">
      <w:pPr>
        <w:pStyle w:val="a3"/>
        <w:numPr>
          <w:ilvl w:val="1"/>
          <w:numId w:val="7"/>
        </w:numPr>
        <w:spacing w:after="200" w:line="360" w:lineRule="auto"/>
        <w:contextualSpacing w:val="0"/>
        <w:jc w:val="both"/>
        <w:rPr>
          <w:sz w:val="22"/>
          <w:szCs w:val="22"/>
        </w:rPr>
      </w:pPr>
      <w:r>
        <w:t>Whether the Secretary of State is a qualified person;</w:t>
      </w:r>
    </w:p>
    <w:p w:rsidR="00FC550C" w:rsidRDefault="00FC550C" w:rsidP="00FC550C">
      <w:pPr>
        <w:pStyle w:val="a3"/>
        <w:numPr>
          <w:ilvl w:val="1"/>
          <w:numId w:val="7"/>
        </w:numPr>
        <w:spacing w:after="200" w:line="360" w:lineRule="auto"/>
        <w:contextualSpacing w:val="0"/>
        <w:jc w:val="both"/>
      </w:pPr>
      <w:r w:rsidRPr="004C3C0E">
        <w:t xml:space="preserve">If he was, whether </w:t>
      </w:r>
      <w:r>
        <w:t>his opinion was objectively reasonable;</w:t>
      </w:r>
    </w:p>
    <w:p w:rsidR="00FC550C" w:rsidRDefault="00FC550C" w:rsidP="00FC550C">
      <w:pPr>
        <w:pStyle w:val="a3"/>
        <w:numPr>
          <w:ilvl w:val="1"/>
          <w:numId w:val="7"/>
        </w:numPr>
        <w:spacing w:after="200" w:line="360" w:lineRule="auto"/>
        <w:contextualSpacing w:val="0"/>
        <w:jc w:val="both"/>
      </w:pPr>
      <w:r>
        <w:t>Whether the opinion was reasonably arrived at; and</w:t>
      </w:r>
    </w:p>
    <w:p w:rsidR="00FC550C" w:rsidRDefault="00FC550C" w:rsidP="00FC550C">
      <w:pPr>
        <w:pStyle w:val="a3"/>
        <w:numPr>
          <w:ilvl w:val="1"/>
          <w:numId w:val="7"/>
        </w:numPr>
        <w:spacing w:after="200" w:line="360" w:lineRule="auto"/>
        <w:contextualSpacing w:val="0"/>
        <w:jc w:val="both"/>
      </w:pPr>
      <w:r>
        <w:t>Whether the public interest in maintaining the exemption outweighed the duty of disclosure.</w:t>
      </w:r>
      <w:r>
        <w:rPr>
          <w:rStyle w:val="a7"/>
        </w:rPr>
        <w:footnoteReference w:id="63"/>
      </w:r>
      <w:r>
        <w:t xml:space="preserve"> </w:t>
      </w:r>
    </w:p>
    <w:p w:rsidR="00FC550C" w:rsidRDefault="00FC550C" w:rsidP="00FC550C">
      <w:pPr>
        <w:pStyle w:val="a3"/>
        <w:numPr>
          <w:ilvl w:val="0"/>
          <w:numId w:val="6"/>
        </w:numPr>
        <w:spacing w:after="200" w:line="360" w:lineRule="auto"/>
        <w:contextualSpacing w:val="0"/>
        <w:jc w:val="both"/>
      </w:pPr>
      <w:r>
        <w:t>In this case, the Secretary of State for Transport is clearly a qualified person.</w:t>
      </w:r>
      <w:r>
        <w:rPr>
          <w:rStyle w:val="a7"/>
        </w:rPr>
        <w:footnoteReference w:id="64"/>
      </w:r>
      <w:r>
        <w:t xml:space="preserve"> </w:t>
      </w:r>
    </w:p>
    <w:p w:rsidR="00FC550C" w:rsidRPr="0054383B" w:rsidRDefault="00FC550C" w:rsidP="00FC550C">
      <w:pPr>
        <w:pStyle w:val="a3"/>
        <w:numPr>
          <w:ilvl w:val="0"/>
          <w:numId w:val="6"/>
        </w:numPr>
        <w:spacing w:after="200" w:line="360" w:lineRule="auto"/>
        <w:contextualSpacing w:val="0"/>
        <w:jc w:val="both"/>
      </w:pPr>
      <w:r>
        <w:t>It is further submitted that his opinion was reasonable. It was objectively reasonable to think that the disclosure would impede frank discussion and comprehensive disclosure of information during meetings (</w:t>
      </w:r>
      <w:proofErr w:type="gramStart"/>
      <w:r>
        <w:t>s.36(</w:t>
      </w:r>
      <w:proofErr w:type="gramEnd"/>
      <w:r>
        <w:t>2)(b)(ii) FOIA). Consequently, it would prejudice the effective conduct of public affairs (</w:t>
      </w:r>
      <w:proofErr w:type="gramStart"/>
      <w:r>
        <w:t>s.36(</w:t>
      </w:r>
      <w:proofErr w:type="gramEnd"/>
      <w:r>
        <w:t xml:space="preserve">2)(c) FOIA). In </w:t>
      </w:r>
      <w:r>
        <w:rPr>
          <w:i/>
        </w:rPr>
        <w:t>Bowden Ltd v Information Commissioner</w:t>
      </w:r>
      <w:r>
        <w:t>, the Tribunal accepted that Ministers would be less likely to put forward issues openly and express dissenting views if there was disclosure of the Cabinet meeting minutes. Instead, it was understood that an obligation of disclosure would result in Ministers expressing their views with an eye to eventual publication.</w:t>
      </w:r>
      <w:r>
        <w:rPr>
          <w:rStyle w:val="a7"/>
        </w:rPr>
        <w:footnoteReference w:id="65"/>
      </w:r>
      <w:r>
        <w:t xml:space="preserve"> Moreover, the disclosure of meeting minutes might undermine the willingness of Ministers to disclose comprehensive information during meetings where policy decisions are </w:t>
      </w:r>
      <w:r>
        <w:lastRenderedPageBreak/>
        <w:t>made.</w:t>
      </w:r>
      <w:r>
        <w:rPr>
          <w:rStyle w:val="a7"/>
        </w:rPr>
        <w:footnoteReference w:id="66"/>
      </w:r>
      <w:r>
        <w:t xml:space="preserve"> This reasoning should similarly apply to deliberations with the Department of Transport. </w:t>
      </w:r>
      <w:r w:rsidRPr="0054383B">
        <w:t>If the civil servants knew</w:t>
      </w:r>
      <w:r>
        <w:t xml:space="preserve"> in advance that the meeting</w:t>
      </w:r>
      <w:r w:rsidRPr="0054383B">
        <w:t xml:space="preserve"> minutes </w:t>
      </w:r>
      <w:r>
        <w:t>might</w:t>
      </w:r>
      <w:r w:rsidRPr="0054383B">
        <w:t xml:space="preserve"> be released</w:t>
      </w:r>
      <w:r>
        <w:t xml:space="preserve"> pursuant to an FOIA request</w:t>
      </w:r>
      <w:r w:rsidRPr="0054383B">
        <w:t xml:space="preserve">, they </w:t>
      </w:r>
      <w:r>
        <w:t>would</w:t>
      </w:r>
      <w:r w:rsidRPr="0054383B">
        <w:t xml:space="preserve"> similarly be </w:t>
      </w:r>
      <w:proofErr w:type="spellStart"/>
      <w:r w:rsidRPr="0054383B">
        <w:t>disincentivised</w:t>
      </w:r>
      <w:proofErr w:type="spellEnd"/>
      <w:r w:rsidRPr="0054383B">
        <w:t xml:space="preserve"> from providing frank advice. For example, the personal accountability</w:t>
      </w:r>
      <w:r>
        <w:t xml:space="preserve"> resulting from public disclosure might prevent the civil servants</w:t>
      </w:r>
      <w:r w:rsidRPr="0054383B">
        <w:t xml:space="preserve"> from playing devil’s advocate.</w:t>
      </w:r>
      <w:r>
        <w:t xml:space="preserve"> Furthermore, the civil servants</w:t>
      </w:r>
      <w:r w:rsidRPr="0054383B">
        <w:t xml:space="preserve"> might choose not to disclose relevant but confidential information in meetings if there is a risk of the minutes being made public. This, in turn, might result in less effective decision-making for the Department as a whole. Therefore, it is reasonable to think that the disclosure (1) is likely to impede free and frank provision of advice (</w:t>
      </w:r>
      <w:proofErr w:type="gramStart"/>
      <w:r w:rsidRPr="0054383B">
        <w:t>s.36(</w:t>
      </w:r>
      <w:proofErr w:type="gramEnd"/>
      <w:r w:rsidRPr="0054383B">
        <w:t>2)(b)(i</w:t>
      </w:r>
      <w:r>
        <w:t>i</w:t>
      </w:r>
      <w:r w:rsidRPr="0054383B">
        <w:t>) FOIA), and (2) might thus prejudice the conduct of public affairs (s.36(2)(c) FOIA).</w:t>
      </w:r>
    </w:p>
    <w:p w:rsidR="00FC550C" w:rsidRDefault="00FC550C" w:rsidP="00FC550C">
      <w:pPr>
        <w:pStyle w:val="a3"/>
        <w:numPr>
          <w:ilvl w:val="0"/>
          <w:numId w:val="6"/>
        </w:numPr>
        <w:spacing w:after="200" w:line="360" w:lineRule="auto"/>
        <w:contextualSpacing w:val="0"/>
        <w:jc w:val="both"/>
      </w:pPr>
      <w:r>
        <w:t xml:space="preserve">Moreover, the Minister’s opinion on the exempt status of the requested information was reasonably arrived at. In </w:t>
      </w:r>
      <w:r>
        <w:rPr>
          <w:i/>
        </w:rPr>
        <w:t>University of Central Lancashire</w:t>
      </w:r>
      <w:r>
        <w:t>, the test is whether there was a careful assessment and investigation to support the opinion.</w:t>
      </w:r>
      <w:r>
        <w:rPr>
          <w:rStyle w:val="a7"/>
        </w:rPr>
        <w:footnoteReference w:id="67"/>
      </w:r>
      <w:r>
        <w:t xml:space="preserve"> In this case, the Secretary of State fully considered the implications of refusing disclosure and adopted an approach that was similar to the approach taken by the Cabinet Office in relation to its meeting minutes. Hence, it is submitted that the opinion was reasonably arrived at. </w:t>
      </w:r>
    </w:p>
    <w:p w:rsidR="00FC550C" w:rsidRDefault="00FC550C" w:rsidP="00FC550C">
      <w:pPr>
        <w:pStyle w:val="a3"/>
        <w:numPr>
          <w:ilvl w:val="0"/>
          <w:numId w:val="6"/>
        </w:numPr>
        <w:spacing w:after="200" w:line="360" w:lineRule="auto"/>
        <w:contextualSpacing w:val="0"/>
        <w:jc w:val="both"/>
      </w:pPr>
      <w:r>
        <w:t xml:space="preserve">Finally, the issue is whether the public interest for exemption outweighs the public interest for disclosure. It is acknowledged that there is public interest for the disclosure of meeting minutes because this might encourage accountability, transparency and political participation by citizens. On the other hand, it must be recognized that there is an interest in ensuring that the Department of Transport is not hindered from proper decision-making. It is important to ensure that civil servants are not </w:t>
      </w:r>
      <w:proofErr w:type="spellStart"/>
      <w:r>
        <w:t>disincentivised</w:t>
      </w:r>
      <w:proofErr w:type="spellEnd"/>
      <w:r>
        <w:t xml:space="preserve"> from </w:t>
      </w:r>
      <w:r w:rsidRPr="00310D39">
        <w:t>expressing their ideas openly and from disclosing confidential information during meetings.</w:t>
      </w:r>
      <w:r>
        <w:t xml:space="preserve"> Just as the interest in proper decision-making by Cabinet outweighs the public interest of disclosure,</w:t>
      </w:r>
      <w:r>
        <w:rPr>
          <w:rStyle w:val="a7"/>
        </w:rPr>
        <w:footnoteReference w:id="68"/>
      </w:r>
      <w:r>
        <w:t xml:space="preserve"> it is submitted that the interest to foster proper decision-making within the </w:t>
      </w:r>
      <w:r>
        <w:lastRenderedPageBreak/>
        <w:t xml:space="preserve">Governmental Departments should also outweigh the public interest of disclosure. </w:t>
      </w:r>
    </w:p>
    <w:p w:rsidR="00FC550C" w:rsidRDefault="00FC550C" w:rsidP="00FC550C">
      <w:pPr>
        <w:pStyle w:val="a3"/>
        <w:numPr>
          <w:ilvl w:val="0"/>
          <w:numId w:val="6"/>
        </w:numPr>
        <w:spacing w:after="200" w:line="360" w:lineRule="auto"/>
        <w:contextualSpacing w:val="0"/>
        <w:jc w:val="both"/>
      </w:pPr>
      <w:r>
        <w:t xml:space="preserve">Overall, it is submitted that the meeting minutes should be treated as exempt information pursuant to </w:t>
      </w:r>
      <w:proofErr w:type="gramStart"/>
      <w:r>
        <w:t>ss.36(</w:t>
      </w:r>
      <w:proofErr w:type="gramEnd"/>
      <w:r>
        <w:t xml:space="preserve">2)(b)(ii) and 36(2)(c) FOIA. Hence, the Secretary of State for Transport did not breach his duty under the FOIA. </w:t>
      </w:r>
    </w:p>
    <w:p w:rsidR="00FC550C" w:rsidRDefault="00FC550C" w:rsidP="00FC550C">
      <w:pPr>
        <w:pStyle w:val="a3"/>
        <w:numPr>
          <w:ilvl w:val="0"/>
          <w:numId w:val="6"/>
        </w:numPr>
        <w:spacing w:after="200" w:line="360" w:lineRule="auto"/>
        <w:contextualSpacing w:val="0"/>
        <w:jc w:val="both"/>
      </w:pPr>
      <w:r>
        <w:t xml:space="preserve">Moreover, the supporting documents did not need to be disclosed because they were exempt information pursuant to </w:t>
      </w:r>
      <w:proofErr w:type="gramStart"/>
      <w:r>
        <w:t>s.43(</w:t>
      </w:r>
      <w:proofErr w:type="gramEnd"/>
      <w:r>
        <w:t xml:space="preserve">2) FOIA. According to </w:t>
      </w:r>
      <w:proofErr w:type="gramStart"/>
      <w:r>
        <w:t>s.43(</w:t>
      </w:r>
      <w:proofErr w:type="gramEnd"/>
      <w:r>
        <w:t xml:space="preserve">2) FOIA, information is exempt if its disclosure is likely to affect the commercial interests of any person. </w:t>
      </w:r>
    </w:p>
    <w:p w:rsidR="00FC550C" w:rsidRDefault="00FC550C" w:rsidP="00FC550C">
      <w:pPr>
        <w:pStyle w:val="a3"/>
        <w:numPr>
          <w:ilvl w:val="0"/>
          <w:numId w:val="6"/>
        </w:numPr>
        <w:spacing w:after="200" w:line="360" w:lineRule="auto"/>
        <w:contextualSpacing w:val="0"/>
        <w:jc w:val="both"/>
      </w:pPr>
      <w:r w:rsidRPr="00E5721C">
        <w:t>It is submitted that</w:t>
      </w:r>
      <w:r>
        <w:t xml:space="preserve"> the supporting documents contain information that might affect</w:t>
      </w:r>
      <w:r w:rsidRPr="00E5721C">
        <w:t xml:space="preserve"> the interests of the contractors for the construction of the high-speed railway. </w:t>
      </w:r>
      <w:r>
        <w:t>Through disclosure,</w:t>
      </w:r>
      <w:r w:rsidRPr="00E5721C">
        <w:t xml:space="preserve"> competitors </w:t>
      </w:r>
      <w:r>
        <w:t>might learn</w:t>
      </w:r>
      <w:r w:rsidRPr="00E5721C">
        <w:t xml:space="preserve"> about the details of the</w:t>
      </w:r>
      <w:r>
        <w:t>ir</w:t>
      </w:r>
      <w:r w:rsidRPr="00E5721C">
        <w:t xml:space="preserve"> </w:t>
      </w:r>
      <w:r>
        <w:t>cost price and staffing in relation to</w:t>
      </w:r>
      <w:r w:rsidRPr="00E5721C">
        <w:t xml:space="preserve"> the construction of the railway</w:t>
      </w:r>
      <w:r>
        <w:t xml:space="preserve"> and might outbid them for future projects</w:t>
      </w:r>
      <w:r w:rsidRPr="00E5721C">
        <w:t>.</w:t>
      </w:r>
      <w:r>
        <w:t xml:space="preserve"> Furthermore, it might also affect the Department of Transport’s commercial interests because it may weaken the Department’s bargaining power in future contracts.</w:t>
      </w:r>
      <w:r w:rsidRPr="00E5721C">
        <w:t xml:space="preserve"> In the Decision Notice </w:t>
      </w:r>
      <w:r>
        <w:t>FS50463251, the Information Commissioner decided that the information was not exempt because the information in question was mainly standardized reporting.</w:t>
      </w:r>
      <w:r>
        <w:rPr>
          <w:rStyle w:val="a7"/>
        </w:rPr>
        <w:footnoteReference w:id="69"/>
      </w:r>
      <w:r>
        <w:t xml:space="preserve"> This suggests that the information should be exempt when there is sensitive information that is unique to the parties. This view was reflected in the Decision Notice FS50470818, where the Information Commissioner was of the view that information dealing with specific staff levels and costs, which was provided during the tendering process, constituted commercially sensitive information under </w:t>
      </w:r>
      <w:proofErr w:type="gramStart"/>
      <w:r>
        <w:t>s.43(</w:t>
      </w:r>
      <w:proofErr w:type="gramEnd"/>
      <w:r>
        <w:t>2) FOIA.</w:t>
      </w:r>
      <w:r>
        <w:rPr>
          <w:rStyle w:val="a7"/>
        </w:rPr>
        <w:footnoteReference w:id="70"/>
      </w:r>
      <w:r>
        <w:t xml:space="preserve"> Since the Department and contractors are involved in a one-of-a-kind contract for the construction of the high-speed railway, the information contained in the supporting documents </w:t>
      </w:r>
      <w:proofErr w:type="gramStart"/>
      <w:r>
        <w:t>are</w:t>
      </w:r>
      <w:proofErr w:type="gramEnd"/>
      <w:r>
        <w:t xml:space="preserve"> not analogous to standardized reporting. On the other hand, the specific nature of the information creates a serious possibility that the commercial interests of the contractors and Department might be affected. Accordingly, the supporting documents should be classified as exempt information pursuant to </w:t>
      </w:r>
      <w:proofErr w:type="gramStart"/>
      <w:r>
        <w:t>s.43(</w:t>
      </w:r>
      <w:proofErr w:type="gramEnd"/>
      <w:r>
        <w:t xml:space="preserve">2) FOIA.  </w:t>
      </w:r>
    </w:p>
    <w:p w:rsidR="00FC550C" w:rsidRDefault="00FC550C" w:rsidP="00FC550C">
      <w:pPr>
        <w:pStyle w:val="a3"/>
        <w:numPr>
          <w:ilvl w:val="0"/>
          <w:numId w:val="6"/>
        </w:numPr>
        <w:spacing w:after="200" w:line="360" w:lineRule="auto"/>
        <w:contextualSpacing w:val="0"/>
        <w:jc w:val="both"/>
      </w:pPr>
      <w:r>
        <w:lastRenderedPageBreak/>
        <w:t xml:space="preserve">Finally, the supporting documents should be exempt because the public interest in disclosure is outweighed by the public interest in keeping the information exempt. This is because there is an interest in ensuring that the Department of Transport remains competitive and able to get the best prices available. This will ensure that taxpayers’ money is well spent and that the general public can benefit from lower transport costs. Furthermore, there is a public interest in ensuring that private companies are not </w:t>
      </w:r>
      <w:proofErr w:type="spellStart"/>
      <w:r>
        <w:t>disincentivised</w:t>
      </w:r>
      <w:proofErr w:type="spellEnd"/>
      <w:r>
        <w:t xml:space="preserve"> from contracting with public bodies. If disclosure were always granted, private companies might think twice before contracting with public bodies because their competitors would be able to obtain their confidential information easily. Therefore, to ensure that the public bodies are able to get competitive offers during their tenders for contracts, the disclosure requirement should not be too onerous. This view is consistent with the decision by the Information Commissioner, where it was reasoned that the public interest in keeping commercially sensitive information outweighed the principles of transparency and accountability in order to prevent negative repercussions on the future quality and range of bids.</w:t>
      </w:r>
      <w:r>
        <w:rPr>
          <w:rStyle w:val="a7"/>
        </w:rPr>
        <w:footnoteReference w:id="71"/>
      </w:r>
      <w:r>
        <w:t xml:space="preserve"> </w:t>
      </w:r>
    </w:p>
    <w:p w:rsidR="00FC550C" w:rsidRPr="00776CFB" w:rsidRDefault="00FC550C" w:rsidP="00FC550C">
      <w:pPr>
        <w:pStyle w:val="a3"/>
        <w:numPr>
          <w:ilvl w:val="0"/>
          <w:numId w:val="6"/>
        </w:numPr>
        <w:spacing w:after="200" w:line="360" w:lineRule="auto"/>
        <w:contextualSpacing w:val="0"/>
        <w:jc w:val="both"/>
      </w:pPr>
      <w:r>
        <w:t xml:space="preserve">Given that the disclosure of the supporting documents are likely to affect the commercial interests of both the Department and the contractors, and the public interest of non-disclosure outweighs the public interest of disclosure, the supporting documents should be regarded as exempt information under </w:t>
      </w:r>
      <w:proofErr w:type="gramStart"/>
      <w:r>
        <w:t>s.43(</w:t>
      </w:r>
      <w:proofErr w:type="gramEnd"/>
      <w:r>
        <w:t xml:space="preserve">2) FOIA. As the meeting minutes should be regarded as exempt information under ss.36(2)(b)(ii) and 36(2)(c) FOIA, and the supporting documents should be regarded as exempt information under s.43(2) FOIA, the Secretary of State did not breach his obligations of disclosure under FOIA in refusing to disclose the requested information. </w:t>
      </w:r>
    </w:p>
    <w:p w:rsidR="00FC550C" w:rsidRDefault="00FC550C" w:rsidP="00FC550C">
      <w:pPr>
        <w:spacing w:line="360" w:lineRule="auto"/>
        <w:jc w:val="both"/>
        <w:rPr>
          <w:u w:val="single"/>
        </w:rPr>
      </w:pPr>
    </w:p>
    <w:p w:rsidR="00FC550C" w:rsidRPr="00712E6C" w:rsidRDefault="00FC550C" w:rsidP="00FC550C">
      <w:pPr>
        <w:spacing w:line="360" w:lineRule="auto"/>
        <w:jc w:val="both"/>
        <w:rPr>
          <w:b/>
          <w:u w:val="single"/>
        </w:rPr>
      </w:pPr>
      <w:r>
        <w:rPr>
          <w:b/>
          <w:u w:val="single"/>
        </w:rPr>
        <w:t>D. Conclusion</w:t>
      </w:r>
    </w:p>
    <w:p w:rsidR="00FC550C" w:rsidRDefault="00FC550C" w:rsidP="00FC550C">
      <w:pPr>
        <w:pStyle w:val="a3"/>
        <w:numPr>
          <w:ilvl w:val="0"/>
          <w:numId w:val="6"/>
        </w:numPr>
        <w:spacing w:after="200" w:line="360" w:lineRule="auto"/>
        <w:contextualSpacing w:val="0"/>
        <w:jc w:val="both"/>
      </w:pPr>
      <w:r>
        <w:t xml:space="preserve">In conclusion, it is submitted that the court should not grant the Alliance with standing to bring a judicial review. Firstly, the members of the Alliance do not have a personal interest in the application because they are not affected as individuals by the alleged breach of duty. The aggregation of the members does </w:t>
      </w:r>
      <w:r>
        <w:lastRenderedPageBreak/>
        <w:t xml:space="preserve">not provide a basis for standing, and the Alliance therefore does not have sufficient interest under s.31 Senior Courts Act 1981. </w:t>
      </w:r>
    </w:p>
    <w:p w:rsidR="00FC550C" w:rsidRPr="00CF093F" w:rsidRDefault="00FC550C" w:rsidP="00FC550C">
      <w:pPr>
        <w:pStyle w:val="a3"/>
        <w:numPr>
          <w:ilvl w:val="0"/>
          <w:numId w:val="6"/>
        </w:numPr>
        <w:spacing w:after="200" w:line="360" w:lineRule="auto"/>
        <w:contextualSpacing w:val="0"/>
        <w:jc w:val="both"/>
      </w:pPr>
      <w:r>
        <w:t xml:space="preserve">Secondly, the courts should refuse permission upon the consideration of the merits. The first consideration is that the likelihood of finding that the Secretary of State had breached his duty is not high. The courts should defer to the decision of the Secretary of State because he had reasonably balanced the long-term environmental benefit with the short-term environmental impact and made a decision to make the compulsory purchase. Furthermore, </w:t>
      </w:r>
      <w:r w:rsidRPr="00CF093F">
        <w:t xml:space="preserve">nature and consequences of the breach that the Alliance alleges </w:t>
      </w:r>
      <w:r>
        <w:t>are</w:t>
      </w:r>
      <w:r w:rsidRPr="00CF093F">
        <w:t xml:space="preserve"> not significant. The alleged breach deals with environmental concerns, which must be subservi</w:t>
      </w:r>
      <w:r>
        <w:t>ent to efficiency and progress. In addition,</w:t>
      </w:r>
      <w:r w:rsidRPr="00CF093F">
        <w:t xml:space="preserve"> the consequences of the extinction of two to four amphibian species are relatively insignificant. </w:t>
      </w:r>
      <w:r>
        <w:t>Moreover</w:t>
      </w:r>
      <w:r w:rsidRPr="00CF093F">
        <w:t xml:space="preserve">, the Alliance, as a local group comprising recreational spotters, cannot provide significant expertise to the court. Finally, the Alliance should be denied standing because the trustees of the land that was compulsorily purchased are the appropriate party to bring any judicial review. </w:t>
      </w:r>
    </w:p>
    <w:p w:rsidR="00FC550C" w:rsidRDefault="00FC550C" w:rsidP="00FC550C">
      <w:pPr>
        <w:pStyle w:val="a3"/>
        <w:numPr>
          <w:ilvl w:val="0"/>
          <w:numId w:val="6"/>
        </w:numPr>
        <w:spacing w:after="200" w:line="360" w:lineRule="auto"/>
        <w:contextualSpacing w:val="0"/>
        <w:jc w:val="both"/>
      </w:pPr>
      <w:r>
        <w:t xml:space="preserve">Thirdly, the court should not grant standing to an applicant who does not bring the judicial review in good faith. Since the Alliance is partially subsidized by a party who has a commercial interest in the judicial review, there is a real danger that (1) the judicial review is motivated by commercial interests and (2) the judicial review is conducted in a manner that serves the commercial interest of the third party. This would amount to an abuse of process. Hence, the court should refuse to grant standing to the Alliance. </w:t>
      </w:r>
    </w:p>
    <w:p w:rsidR="00FC550C" w:rsidRPr="00776CFB" w:rsidRDefault="00FC550C" w:rsidP="00FC550C">
      <w:pPr>
        <w:pStyle w:val="a3"/>
        <w:numPr>
          <w:ilvl w:val="0"/>
          <w:numId w:val="6"/>
        </w:numPr>
        <w:spacing w:after="200" w:line="360" w:lineRule="auto"/>
        <w:contextualSpacing w:val="0"/>
        <w:jc w:val="both"/>
      </w:pPr>
      <w:r>
        <w:t xml:space="preserve">In relation to the FOIA, it is submitted that the meeting minutes and supporting documents do not have to be disclosed because they constitute exempt information under </w:t>
      </w:r>
      <w:proofErr w:type="gramStart"/>
      <w:r>
        <w:t>ss.36(</w:t>
      </w:r>
      <w:proofErr w:type="gramEnd"/>
      <w:r>
        <w:t xml:space="preserve">2)(b)(ii), 36(2)(c) and 43(2) FOIA. There is a real danger that the effectiveness of decision making within the Department of Transport will be comprised if disclosure is ordered. This is because the civil servants might be </w:t>
      </w:r>
      <w:proofErr w:type="spellStart"/>
      <w:r>
        <w:t>disincentivised</w:t>
      </w:r>
      <w:proofErr w:type="spellEnd"/>
      <w:r>
        <w:t xml:space="preserve"> from speaking their mind and disclosing confidential information during meetings. Hence, the public interest for non-disclosure should outweigh the interest for disclosure. The information should </w:t>
      </w:r>
      <w:r>
        <w:lastRenderedPageBreak/>
        <w:t xml:space="preserve">also be exempt because it is likely to prejudice the commercial interests of the Department and its contractors. The information in question contains specific information about the costs of the contractors and the disclosure might adversely affect their competitiveness. Furthermore, the disclosure might result in the Department being less able to bargain effectively. Additionally, the public interest of non-disclosure outweighs the interest in disclosure because there is a strong public interest in ensuring that the Department for Transport is able to get the best prices for contracts and that private companies are not </w:t>
      </w:r>
      <w:proofErr w:type="spellStart"/>
      <w:r>
        <w:t>disincentivised</w:t>
      </w:r>
      <w:proofErr w:type="spellEnd"/>
      <w:r>
        <w:t xml:space="preserve"> from contracting with the public bodies.  Therefore, it is submitted that the meeting minutes and supporting documents are exempt and the Secretary of State did not breach his duty under FOIA. </w:t>
      </w:r>
    </w:p>
    <w:p w:rsidR="00FC550C" w:rsidRDefault="00FC550C" w:rsidP="00FC550C">
      <w:pPr>
        <w:pStyle w:val="a3"/>
        <w:numPr>
          <w:ilvl w:val="0"/>
          <w:numId w:val="6"/>
        </w:numPr>
        <w:spacing w:after="200" w:line="360" w:lineRule="auto"/>
        <w:contextualSpacing w:val="0"/>
        <w:jc w:val="both"/>
      </w:pPr>
      <w:r>
        <w:t xml:space="preserve">Accordingly, the court is respectfully requested to dismiss both the Alliance’s application for standing for judicial review and the claim that the Secretary of State for Transport had breached his obligations under FOIA. </w:t>
      </w:r>
    </w:p>
    <w:p w:rsidR="00FC550C" w:rsidRDefault="00FC550C">
      <w:pPr>
        <w:spacing w:after="200" w:line="276" w:lineRule="auto"/>
        <w:rPr>
          <w:rFonts w:ascii="Times New Roman" w:hAnsi="Times New Roman"/>
        </w:rPr>
      </w:pPr>
      <w:r>
        <w:rPr>
          <w:rFonts w:ascii="Times New Roman" w:hAnsi="Times New Roman"/>
        </w:rPr>
        <w:br w:type="page"/>
      </w:r>
    </w:p>
    <w:p w:rsidR="00FC550C" w:rsidRPr="00890A2A" w:rsidRDefault="00FC550C" w:rsidP="00FC550C">
      <w:pPr>
        <w:ind w:left="470" w:right="-46" w:firstLine="2410"/>
        <w:rPr>
          <w:rFonts w:ascii="Times New Roman" w:hAnsi="Times New Roman"/>
        </w:rPr>
      </w:pPr>
      <w:r w:rsidRPr="00890A2A">
        <w:rPr>
          <w:rFonts w:ascii="Times New Roman" w:hAnsi="Times New Roman"/>
          <w:noProof/>
          <w:lang w:val="en-US" w:eastAsia="zh-CN"/>
        </w:rPr>
        <w:lastRenderedPageBreak/>
        <w:drawing>
          <wp:inline distT="0" distB="0" distL="0" distR="0">
            <wp:extent cx="2305050" cy="1982582"/>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305050" cy="1982582"/>
                    </a:xfrm>
                    <a:prstGeom prst="rect">
                      <a:avLst/>
                    </a:prstGeom>
                    <a:noFill/>
                    <a:ln w="9525">
                      <a:noFill/>
                      <a:miter lim="800000"/>
                      <a:headEnd/>
                      <a:tailEnd/>
                    </a:ln>
                  </pic:spPr>
                </pic:pic>
              </a:graphicData>
            </a:graphic>
          </wp:inline>
        </w:drawing>
      </w:r>
    </w:p>
    <w:p w:rsidR="00FC550C" w:rsidRPr="00890A2A" w:rsidRDefault="00FC550C" w:rsidP="00FC550C">
      <w:pPr>
        <w:tabs>
          <w:tab w:val="left" w:pos="3732"/>
        </w:tabs>
        <w:jc w:val="center"/>
        <w:rPr>
          <w:rFonts w:ascii="Times New Roman" w:hAnsi="Times New Roman"/>
          <w:b/>
          <w:sz w:val="36"/>
          <w:szCs w:val="36"/>
        </w:rPr>
      </w:pPr>
      <w:r w:rsidRPr="00890A2A">
        <w:rPr>
          <w:rFonts w:ascii="Times New Roman" w:hAnsi="Times New Roman"/>
          <w:sz w:val="36"/>
          <w:szCs w:val="36"/>
        </w:rPr>
        <w:t xml:space="preserve">        </w:t>
      </w:r>
      <w:r w:rsidRPr="00890A2A">
        <w:rPr>
          <w:rFonts w:ascii="Times New Roman" w:hAnsi="Times New Roman"/>
          <w:b/>
          <w:sz w:val="36"/>
          <w:szCs w:val="36"/>
        </w:rPr>
        <w:t>Transport Act 2013 (Fictional)</w:t>
      </w:r>
    </w:p>
    <w:p w:rsidR="00FC550C" w:rsidRPr="00890A2A" w:rsidRDefault="00FC550C" w:rsidP="00FC550C">
      <w:pPr>
        <w:tabs>
          <w:tab w:val="left" w:pos="3732"/>
        </w:tabs>
        <w:jc w:val="center"/>
        <w:rPr>
          <w:rFonts w:ascii="Times New Roman" w:hAnsi="Times New Roman"/>
          <w:b/>
          <w:sz w:val="36"/>
          <w:szCs w:val="36"/>
        </w:rPr>
      </w:pPr>
      <w:r w:rsidRPr="00890A2A">
        <w:rPr>
          <w:rFonts w:ascii="Times New Roman" w:hAnsi="Times New Roman"/>
          <w:b/>
          <w:sz w:val="36"/>
          <w:szCs w:val="36"/>
        </w:rPr>
        <w:t>Chapter 38</w:t>
      </w:r>
    </w:p>
    <w:p w:rsidR="00FC550C" w:rsidRPr="00890A2A" w:rsidRDefault="00FC550C" w:rsidP="00FC550C">
      <w:pPr>
        <w:tabs>
          <w:tab w:val="left" w:pos="3732"/>
        </w:tabs>
        <w:rPr>
          <w:rFonts w:ascii="Times New Roman" w:hAnsi="Times New Roman"/>
        </w:rPr>
      </w:pPr>
    </w:p>
    <w:p w:rsidR="00FC550C" w:rsidRPr="00890A2A" w:rsidRDefault="00FC550C" w:rsidP="00FC550C">
      <w:pPr>
        <w:tabs>
          <w:tab w:val="left" w:pos="3732"/>
        </w:tabs>
        <w:rPr>
          <w:rFonts w:ascii="Times New Roman" w:hAnsi="Times New Roman"/>
          <w:b/>
        </w:rPr>
      </w:pPr>
      <w:proofErr w:type="gramStart"/>
      <w:r w:rsidRPr="00890A2A">
        <w:rPr>
          <w:rFonts w:ascii="Times New Roman" w:hAnsi="Times New Roman"/>
          <w:b/>
        </w:rPr>
        <w:t>27. Orders as to railways, tramways etc.</w:t>
      </w:r>
      <w:proofErr w:type="gramEnd"/>
    </w:p>
    <w:p w:rsidR="00FC550C" w:rsidRPr="00890A2A" w:rsidRDefault="00FC550C" w:rsidP="00FC550C">
      <w:pPr>
        <w:pStyle w:val="a3"/>
        <w:numPr>
          <w:ilvl w:val="0"/>
          <w:numId w:val="9"/>
        </w:numPr>
        <w:tabs>
          <w:tab w:val="left" w:pos="3732"/>
        </w:tabs>
        <w:spacing w:after="200" w:line="276" w:lineRule="auto"/>
        <w:rPr>
          <w:rFonts w:ascii="Times New Roman" w:hAnsi="Times New Roman"/>
        </w:rPr>
      </w:pPr>
      <w:r w:rsidRPr="00890A2A">
        <w:rPr>
          <w:rFonts w:ascii="Times New Roman" w:hAnsi="Times New Roman"/>
        </w:rPr>
        <w:t>The Secretary of State may make a compulsory purchase order, where she considers it necessary, in relation to (or to matters ancillary to), the construction or operation of a transport system of any of the following kinds, so far as it is in England and Wales–</w:t>
      </w:r>
    </w:p>
    <w:p w:rsidR="00FC550C" w:rsidRPr="00890A2A" w:rsidRDefault="00FC550C" w:rsidP="00FC550C">
      <w:pPr>
        <w:pStyle w:val="a3"/>
        <w:tabs>
          <w:tab w:val="left" w:pos="3732"/>
        </w:tabs>
        <w:ind w:left="360"/>
        <w:rPr>
          <w:rFonts w:ascii="Times New Roman" w:hAnsi="Times New Roman"/>
        </w:rPr>
      </w:pPr>
      <w:r w:rsidRPr="00890A2A">
        <w:rPr>
          <w:rFonts w:ascii="Times New Roman" w:hAnsi="Times New Roman"/>
        </w:rPr>
        <w:t xml:space="preserve"> </w:t>
      </w:r>
    </w:p>
    <w:p w:rsidR="00FC550C" w:rsidRPr="00890A2A" w:rsidRDefault="00FC550C" w:rsidP="00FC550C">
      <w:pPr>
        <w:pStyle w:val="a3"/>
        <w:numPr>
          <w:ilvl w:val="0"/>
          <w:numId w:val="8"/>
        </w:numPr>
        <w:tabs>
          <w:tab w:val="left" w:pos="3732"/>
        </w:tabs>
        <w:spacing w:after="200" w:line="276" w:lineRule="auto"/>
        <w:rPr>
          <w:rFonts w:ascii="Times New Roman" w:hAnsi="Times New Roman"/>
        </w:rPr>
      </w:pPr>
      <w:r w:rsidRPr="00890A2A">
        <w:rPr>
          <w:rFonts w:ascii="Times New Roman" w:hAnsi="Times New Roman"/>
        </w:rPr>
        <w:t>a railway;</w:t>
      </w:r>
    </w:p>
    <w:p w:rsidR="00FC550C" w:rsidRPr="00890A2A" w:rsidRDefault="00FC550C" w:rsidP="00FC550C">
      <w:pPr>
        <w:pStyle w:val="a3"/>
        <w:numPr>
          <w:ilvl w:val="0"/>
          <w:numId w:val="8"/>
        </w:numPr>
        <w:tabs>
          <w:tab w:val="left" w:pos="3732"/>
        </w:tabs>
        <w:spacing w:after="200" w:line="276" w:lineRule="auto"/>
        <w:rPr>
          <w:rFonts w:ascii="Times New Roman" w:hAnsi="Times New Roman"/>
        </w:rPr>
      </w:pPr>
      <w:r w:rsidRPr="00890A2A">
        <w:rPr>
          <w:rFonts w:ascii="Times New Roman" w:hAnsi="Times New Roman"/>
        </w:rPr>
        <w:t>(b)a tramway;</w:t>
      </w:r>
    </w:p>
    <w:p w:rsidR="00FC550C" w:rsidRPr="00890A2A" w:rsidRDefault="00FC550C" w:rsidP="00FC550C">
      <w:pPr>
        <w:pStyle w:val="a3"/>
        <w:numPr>
          <w:ilvl w:val="0"/>
          <w:numId w:val="8"/>
        </w:numPr>
        <w:tabs>
          <w:tab w:val="left" w:pos="3732"/>
        </w:tabs>
        <w:spacing w:after="200" w:line="276" w:lineRule="auto"/>
        <w:rPr>
          <w:rFonts w:ascii="Times New Roman" w:hAnsi="Times New Roman"/>
        </w:rPr>
      </w:pPr>
      <w:r w:rsidRPr="00890A2A">
        <w:rPr>
          <w:rFonts w:ascii="Times New Roman" w:hAnsi="Times New Roman"/>
        </w:rPr>
        <w:t xml:space="preserve">a trolley vehicle system; and </w:t>
      </w:r>
    </w:p>
    <w:p w:rsidR="00FC550C" w:rsidRPr="00890A2A" w:rsidRDefault="00FC550C" w:rsidP="00FC550C">
      <w:pPr>
        <w:pStyle w:val="a3"/>
        <w:numPr>
          <w:ilvl w:val="0"/>
          <w:numId w:val="8"/>
        </w:numPr>
        <w:tabs>
          <w:tab w:val="left" w:pos="3732"/>
        </w:tabs>
        <w:spacing w:after="200" w:line="276" w:lineRule="auto"/>
        <w:rPr>
          <w:rFonts w:ascii="Times New Roman" w:hAnsi="Times New Roman"/>
        </w:rPr>
      </w:pPr>
      <w:proofErr w:type="gramStart"/>
      <w:r w:rsidRPr="00890A2A">
        <w:rPr>
          <w:rFonts w:ascii="Times New Roman" w:hAnsi="Times New Roman"/>
        </w:rPr>
        <w:t>a</w:t>
      </w:r>
      <w:proofErr w:type="gramEnd"/>
      <w:r w:rsidRPr="00890A2A">
        <w:rPr>
          <w:rFonts w:ascii="Times New Roman" w:hAnsi="Times New Roman"/>
        </w:rPr>
        <w:t xml:space="preserve"> system using a mode of guided transport.</w:t>
      </w:r>
    </w:p>
    <w:p w:rsidR="00FC550C" w:rsidRPr="00890A2A" w:rsidRDefault="00FC550C" w:rsidP="00FC550C">
      <w:pPr>
        <w:pStyle w:val="a3"/>
        <w:tabs>
          <w:tab w:val="left" w:pos="3732"/>
        </w:tabs>
        <w:ind w:left="360"/>
        <w:rPr>
          <w:rFonts w:ascii="Times New Roman" w:hAnsi="Times New Roman"/>
        </w:rPr>
      </w:pPr>
    </w:p>
    <w:p w:rsidR="00FC550C" w:rsidRPr="00890A2A" w:rsidRDefault="00FC550C" w:rsidP="00FC550C">
      <w:pPr>
        <w:pStyle w:val="a3"/>
        <w:numPr>
          <w:ilvl w:val="0"/>
          <w:numId w:val="9"/>
        </w:numPr>
        <w:tabs>
          <w:tab w:val="left" w:pos="3732"/>
        </w:tabs>
        <w:spacing w:after="200" w:line="276" w:lineRule="auto"/>
        <w:rPr>
          <w:rFonts w:ascii="Times New Roman" w:hAnsi="Times New Roman"/>
        </w:rPr>
      </w:pPr>
      <w:r w:rsidRPr="00890A2A">
        <w:rPr>
          <w:rFonts w:ascii="Times New Roman" w:hAnsi="Times New Roman"/>
        </w:rPr>
        <w:t>I</w:t>
      </w:r>
      <w:r w:rsidRPr="00890A2A">
        <w:rPr>
          <w:rFonts w:ascii="Times New Roman" w:hAnsi="Times New Roman"/>
          <w:color w:val="000000"/>
          <w:u w:color="000000"/>
        </w:rPr>
        <w:t xml:space="preserve">n the exercise of her functions under this </w:t>
      </w:r>
      <w:r w:rsidRPr="00890A2A">
        <w:rPr>
          <w:rFonts w:ascii="Times New Roman" w:hAnsi="Times New Roman"/>
        </w:rPr>
        <w:t xml:space="preserve">section, </w:t>
      </w:r>
      <w:r w:rsidRPr="00890A2A">
        <w:rPr>
          <w:rFonts w:ascii="Times New Roman" w:hAnsi="Times New Roman"/>
          <w:color w:val="000000"/>
          <w:u w:color="000000"/>
        </w:rPr>
        <w:t xml:space="preserve">it shall be the duty of </w:t>
      </w:r>
      <w:r w:rsidRPr="00890A2A">
        <w:rPr>
          <w:rFonts w:ascii="Times New Roman" w:hAnsi="Times New Roman"/>
        </w:rPr>
        <w:t>the Secretary of State</w:t>
      </w:r>
      <w:r w:rsidRPr="00890A2A">
        <w:rPr>
          <w:rFonts w:ascii="Times New Roman" w:hAnsi="Times New Roman"/>
          <w:color w:val="000000"/>
          <w:u w:color="000000"/>
        </w:rPr>
        <w:t xml:space="preserve"> to have due regard to—</w:t>
      </w:r>
    </w:p>
    <w:p w:rsidR="00FC550C" w:rsidRPr="00890A2A" w:rsidRDefault="00FC550C" w:rsidP="00FC550C">
      <w:pPr>
        <w:pStyle w:val="a3"/>
        <w:numPr>
          <w:ilvl w:val="1"/>
          <w:numId w:val="10"/>
        </w:numPr>
        <w:tabs>
          <w:tab w:val="left" w:pos="3732"/>
        </w:tabs>
        <w:spacing w:after="200" w:line="276" w:lineRule="auto"/>
        <w:rPr>
          <w:rFonts w:ascii="Times New Roman" w:hAnsi="Times New Roman"/>
        </w:rPr>
      </w:pPr>
      <w:r w:rsidRPr="00890A2A">
        <w:rPr>
          <w:rFonts w:ascii="Times New Roman" w:hAnsi="Times New Roman"/>
          <w:color w:val="000000"/>
          <w:u w:color="000000"/>
        </w:rPr>
        <w:t xml:space="preserve">the </w:t>
      </w:r>
      <w:r w:rsidRPr="00890A2A">
        <w:rPr>
          <w:rFonts w:ascii="Times New Roman" w:hAnsi="Times New Roman"/>
        </w:rPr>
        <w:t>need to protect the environment;</w:t>
      </w:r>
      <w:r w:rsidRPr="00890A2A">
        <w:rPr>
          <w:rFonts w:ascii="Times New Roman" w:hAnsi="Times New Roman"/>
          <w:color w:val="000000"/>
          <w:u w:color="000000"/>
        </w:rPr>
        <w:t xml:space="preserve"> and</w:t>
      </w:r>
      <w:r w:rsidRPr="00890A2A">
        <w:rPr>
          <w:rFonts w:ascii="Times New Roman" w:hAnsi="Times New Roman"/>
        </w:rPr>
        <w:t xml:space="preserve"> </w:t>
      </w:r>
    </w:p>
    <w:p w:rsidR="00FC550C" w:rsidRPr="00890A2A" w:rsidRDefault="00FC550C" w:rsidP="00FC550C">
      <w:pPr>
        <w:pStyle w:val="a3"/>
        <w:numPr>
          <w:ilvl w:val="1"/>
          <w:numId w:val="10"/>
        </w:numPr>
        <w:tabs>
          <w:tab w:val="left" w:pos="3732"/>
        </w:tabs>
        <w:spacing w:after="200" w:line="276" w:lineRule="auto"/>
        <w:rPr>
          <w:rFonts w:ascii="Times New Roman" w:hAnsi="Times New Roman"/>
        </w:rPr>
      </w:pPr>
      <w:proofErr w:type="gramStart"/>
      <w:r w:rsidRPr="00890A2A">
        <w:rPr>
          <w:rFonts w:ascii="Times New Roman" w:hAnsi="Times New Roman"/>
        </w:rPr>
        <w:t>the</w:t>
      </w:r>
      <w:proofErr w:type="gramEnd"/>
      <w:r w:rsidRPr="00890A2A">
        <w:rPr>
          <w:rFonts w:ascii="Times New Roman" w:hAnsi="Times New Roman"/>
        </w:rPr>
        <w:t xml:space="preserve"> need to preserve biodiversity.</w:t>
      </w:r>
    </w:p>
    <w:p w:rsidR="00FC550C" w:rsidRDefault="00FC550C">
      <w:pPr>
        <w:spacing w:after="200" w:line="276" w:lineRule="auto"/>
        <w:rPr>
          <w:rFonts w:ascii="Times New Roman" w:hAnsi="Times New Roman"/>
        </w:rPr>
      </w:pPr>
      <w:r>
        <w:rPr>
          <w:rFonts w:ascii="Times New Roman" w:hAnsi="Times New Roman"/>
        </w:rPr>
        <w:br w:type="page"/>
      </w:r>
    </w:p>
    <w:p w:rsidR="00FC550C" w:rsidRPr="00890A2A" w:rsidRDefault="00FC550C" w:rsidP="00FC550C">
      <w:pPr>
        <w:ind w:left="470" w:right="-46" w:firstLine="2410"/>
        <w:rPr>
          <w:rFonts w:ascii="Times New Roman" w:hAnsi="Times New Roman"/>
        </w:rPr>
      </w:pPr>
      <w:r w:rsidRPr="00890A2A">
        <w:rPr>
          <w:rFonts w:ascii="Times New Roman" w:hAnsi="Times New Roman"/>
          <w:noProof/>
          <w:lang w:val="en-US" w:eastAsia="zh-CN"/>
        </w:rPr>
        <w:lastRenderedPageBreak/>
        <w:drawing>
          <wp:inline distT="0" distB="0" distL="0" distR="0">
            <wp:extent cx="2305050" cy="1982582"/>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305050" cy="1982582"/>
                    </a:xfrm>
                    <a:prstGeom prst="rect">
                      <a:avLst/>
                    </a:prstGeom>
                    <a:noFill/>
                    <a:ln w="9525">
                      <a:noFill/>
                      <a:miter lim="800000"/>
                      <a:headEnd/>
                      <a:tailEnd/>
                    </a:ln>
                  </pic:spPr>
                </pic:pic>
              </a:graphicData>
            </a:graphic>
          </wp:inline>
        </w:drawing>
      </w:r>
    </w:p>
    <w:p w:rsidR="00FC550C" w:rsidRPr="00890A2A" w:rsidRDefault="00FC550C" w:rsidP="00FC550C">
      <w:pPr>
        <w:tabs>
          <w:tab w:val="left" w:pos="3732"/>
        </w:tabs>
        <w:jc w:val="center"/>
        <w:rPr>
          <w:rFonts w:ascii="Times New Roman" w:hAnsi="Times New Roman"/>
          <w:b/>
          <w:sz w:val="36"/>
          <w:szCs w:val="36"/>
        </w:rPr>
      </w:pPr>
      <w:r w:rsidRPr="00890A2A">
        <w:rPr>
          <w:rFonts w:ascii="Times New Roman" w:hAnsi="Times New Roman"/>
          <w:sz w:val="36"/>
          <w:szCs w:val="36"/>
        </w:rPr>
        <w:t xml:space="preserve">        </w:t>
      </w:r>
      <w:r>
        <w:rPr>
          <w:rFonts w:ascii="Times New Roman" w:hAnsi="Times New Roman"/>
          <w:b/>
          <w:sz w:val="36"/>
          <w:szCs w:val="36"/>
        </w:rPr>
        <w:t xml:space="preserve">Senior Courts Act 1981 </w:t>
      </w:r>
    </w:p>
    <w:p w:rsidR="00FC550C" w:rsidRPr="00890A2A" w:rsidRDefault="00FC550C" w:rsidP="00FC550C">
      <w:pPr>
        <w:tabs>
          <w:tab w:val="left" w:pos="3732"/>
        </w:tabs>
        <w:jc w:val="center"/>
        <w:rPr>
          <w:rFonts w:ascii="Times New Roman" w:hAnsi="Times New Roman"/>
          <w:b/>
          <w:sz w:val="36"/>
          <w:szCs w:val="36"/>
        </w:rPr>
      </w:pPr>
      <w:r w:rsidRPr="00890A2A">
        <w:rPr>
          <w:rFonts w:ascii="Times New Roman" w:hAnsi="Times New Roman"/>
          <w:b/>
          <w:sz w:val="36"/>
          <w:szCs w:val="36"/>
        </w:rPr>
        <w:t xml:space="preserve">Chapter </w:t>
      </w:r>
      <w:r>
        <w:rPr>
          <w:rFonts w:ascii="Times New Roman" w:hAnsi="Times New Roman"/>
          <w:b/>
          <w:sz w:val="36"/>
          <w:szCs w:val="36"/>
        </w:rPr>
        <w:t>54</w:t>
      </w:r>
    </w:p>
    <w:p w:rsidR="00FC550C" w:rsidRDefault="00FC550C" w:rsidP="00FC550C">
      <w:pPr>
        <w:tabs>
          <w:tab w:val="left" w:pos="3732"/>
        </w:tabs>
        <w:rPr>
          <w:rFonts w:ascii="Times New Roman" w:hAnsi="Times New Roman"/>
        </w:rPr>
      </w:pPr>
    </w:p>
    <w:p w:rsidR="00FC550C" w:rsidRPr="00797685" w:rsidRDefault="00FC550C" w:rsidP="00FC550C">
      <w:pPr>
        <w:tabs>
          <w:tab w:val="left" w:pos="3732"/>
        </w:tabs>
        <w:ind w:left="567" w:hanging="567"/>
        <w:rPr>
          <w:rFonts w:ascii="Times New Roman" w:hAnsi="Times New Roman"/>
        </w:rPr>
      </w:pPr>
      <w:r w:rsidRPr="00797685">
        <w:rPr>
          <w:rFonts w:ascii="Times New Roman" w:hAnsi="Times New Roman"/>
        </w:rPr>
        <w:t xml:space="preserve">(31)    Application for Judicial Review </w:t>
      </w:r>
    </w:p>
    <w:p w:rsidR="00FC550C" w:rsidRPr="00797685" w:rsidRDefault="00FC550C" w:rsidP="00FC550C">
      <w:pPr>
        <w:pStyle w:val="a3"/>
        <w:numPr>
          <w:ilvl w:val="0"/>
          <w:numId w:val="11"/>
        </w:numPr>
        <w:tabs>
          <w:tab w:val="left" w:pos="3732"/>
        </w:tabs>
        <w:spacing w:after="200" w:line="276" w:lineRule="auto"/>
        <w:rPr>
          <w:rFonts w:ascii="Times New Roman" w:hAnsi="Times New Roman"/>
        </w:rPr>
      </w:pPr>
      <w:r w:rsidRPr="00797685">
        <w:rPr>
          <w:rFonts w:ascii="Times New Roman" w:hAnsi="Times New Roman"/>
        </w:rPr>
        <w:t>No application for judicial review shall be made unless the leave of the High Court has been obtained in accordance with rules of court; and the court shall not grant leave to make such an application unless it considers that the applicant has a sufficient interest in the matter to which the application relates.</w:t>
      </w:r>
    </w:p>
    <w:p w:rsidR="00FC550C" w:rsidRDefault="00FC550C">
      <w:pPr>
        <w:spacing w:after="200" w:line="276" w:lineRule="auto"/>
      </w:pPr>
      <w:r>
        <w:br w:type="page"/>
      </w:r>
    </w:p>
    <w:p w:rsidR="00FC550C" w:rsidRDefault="00FC550C" w:rsidP="00FC550C">
      <w:pPr>
        <w:ind w:left="1440" w:firstLine="720"/>
      </w:pPr>
      <w:r>
        <w:lastRenderedPageBreak/>
        <w:t xml:space="preserve">           </w:t>
      </w:r>
      <w:r w:rsidRPr="00012662">
        <w:rPr>
          <w:noProof/>
          <w:lang w:val="en-US" w:eastAsia="zh-CN"/>
        </w:rPr>
        <w:drawing>
          <wp:inline distT="0" distB="0" distL="0" distR="0">
            <wp:extent cx="2305050" cy="1982582"/>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305050" cy="1982582"/>
                    </a:xfrm>
                    <a:prstGeom prst="rect">
                      <a:avLst/>
                    </a:prstGeom>
                    <a:noFill/>
                    <a:ln w="9525">
                      <a:noFill/>
                      <a:miter lim="800000"/>
                      <a:headEnd/>
                      <a:tailEnd/>
                    </a:ln>
                  </pic:spPr>
                </pic:pic>
              </a:graphicData>
            </a:graphic>
          </wp:inline>
        </w:drawing>
      </w:r>
    </w:p>
    <w:p w:rsidR="00FC550C" w:rsidRPr="00012662" w:rsidRDefault="00FC550C" w:rsidP="00FC550C">
      <w:pPr>
        <w:ind w:left="1440" w:firstLine="720"/>
        <w:rPr>
          <w:rFonts w:ascii="Times New Roman" w:hAnsi="Times New Roman"/>
          <w:b/>
          <w:sz w:val="36"/>
          <w:szCs w:val="36"/>
        </w:rPr>
      </w:pPr>
      <w:r w:rsidRPr="00012662">
        <w:rPr>
          <w:rFonts w:ascii="Times New Roman" w:hAnsi="Times New Roman"/>
          <w:b/>
          <w:sz w:val="36"/>
          <w:szCs w:val="36"/>
        </w:rPr>
        <w:t>Freedom of Information Act 2000</w:t>
      </w:r>
    </w:p>
    <w:p w:rsidR="00FC550C" w:rsidRDefault="00FC550C" w:rsidP="00FC550C">
      <w:pPr>
        <w:ind w:left="2880" w:firstLine="720"/>
        <w:rPr>
          <w:rFonts w:ascii="Times New Roman" w:hAnsi="Times New Roman"/>
          <w:b/>
          <w:sz w:val="36"/>
          <w:szCs w:val="36"/>
        </w:rPr>
      </w:pPr>
      <w:r w:rsidRPr="00012662">
        <w:rPr>
          <w:rFonts w:ascii="Times New Roman" w:hAnsi="Times New Roman"/>
          <w:b/>
          <w:sz w:val="36"/>
          <w:szCs w:val="36"/>
        </w:rPr>
        <w:t>Chapter 36</w:t>
      </w:r>
    </w:p>
    <w:p w:rsidR="00FC550C" w:rsidRDefault="00FC550C" w:rsidP="00FC550C">
      <w:pPr>
        <w:ind w:left="2880" w:firstLine="720"/>
        <w:rPr>
          <w:rFonts w:ascii="Times New Roman" w:hAnsi="Times New Roman"/>
          <w:b/>
          <w:sz w:val="36"/>
          <w:szCs w:val="36"/>
        </w:rPr>
      </w:pPr>
    </w:p>
    <w:p w:rsidR="00FC550C" w:rsidRDefault="00FC550C" w:rsidP="00FC550C">
      <w:pPr>
        <w:pStyle w:val="a3"/>
        <w:numPr>
          <w:ilvl w:val="0"/>
          <w:numId w:val="14"/>
        </w:numPr>
        <w:jc w:val="both"/>
        <w:rPr>
          <w:rFonts w:ascii="Times New Roman" w:hAnsi="Times New Roman"/>
          <w:b/>
        </w:rPr>
      </w:pPr>
      <w:r w:rsidRPr="00012662">
        <w:rPr>
          <w:rFonts w:ascii="Times New Roman" w:hAnsi="Times New Roman"/>
          <w:b/>
        </w:rPr>
        <w:t>General right of access to information held by public authorities.</w:t>
      </w:r>
    </w:p>
    <w:p w:rsidR="00FC550C" w:rsidRPr="000F2F6E" w:rsidRDefault="00FC550C" w:rsidP="00FC550C">
      <w:pPr>
        <w:pStyle w:val="a3"/>
        <w:ind w:left="360"/>
        <w:jc w:val="both"/>
        <w:rPr>
          <w:rFonts w:ascii="Times New Roman" w:hAnsi="Times New Roman"/>
          <w:b/>
          <w:sz w:val="14"/>
        </w:rPr>
      </w:pPr>
    </w:p>
    <w:p w:rsidR="00FC550C" w:rsidRDefault="00FC550C" w:rsidP="00FC550C">
      <w:pPr>
        <w:pStyle w:val="a3"/>
        <w:numPr>
          <w:ilvl w:val="0"/>
          <w:numId w:val="19"/>
        </w:numPr>
        <w:jc w:val="both"/>
        <w:rPr>
          <w:rFonts w:ascii="Times New Roman" w:hAnsi="Times New Roman"/>
        </w:rPr>
      </w:pPr>
      <w:r w:rsidRPr="000F2F6E">
        <w:rPr>
          <w:rFonts w:ascii="Times New Roman" w:hAnsi="Times New Roman"/>
        </w:rPr>
        <w:t>Any person making a request for information to a public authority is entitled—</w:t>
      </w:r>
    </w:p>
    <w:p w:rsidR="00FC550C" w:rsidRDefault="00FC550C" w:rsidP="00FC550C">
      <w:pPr>
        <w:pStyle w:val="a3"/>
        <w:ind w:left="360"/>
        <w:jc w:val="both"/>
        <w:rPr>
          <w:rFonts w:ascii="Times New Roman" w:hAnsi="Times New Roman"/>
        </w:rPr>
      </w:pPr>
    </w:p>
    <w:p w:rsidR="00FC550C" w:rsidRDefault="00FC550C" w:rsidP="00FC550C">
      <w:pPr>
        <w:pStyle w:val="a3"/>
        <w:numPr>
          <w:ilvl w:val="0"/>
          <w:numId w:val="12"/>
        </w:numPr>
        <w:jc w:val="both"/>
        <w:rPr>
          <w:rFonts w:ascii="Times New Roman" w:hAnsi="Times New Roman"/>
        </w:rPr>
      </w:pPr>
      <w:r w:rsidRPr="00012662">
        <w:rPr>
          <w:rFonts w:ascii="Times New Roman" w:hAnsi="Times New Roman"/>
        </w:rPr>
        <w:t>to be informed in writing by the public authority whether it holds information of the description specified in the request, and</w:t>
      </w:r>
    </w:p>
    <w:p w:rsidR="00FC550C" w:rsidRPr="000F2F6E" w:rsidRDefault="00FC550C" w:rsidP="00FC550C">
      <w:pPr>
        <w:pStyle w:val="a3"/>
        <w:jc w:val="both"/>
        <w:rPr>
          <w:rFonts w:ascii="Times New Roman" w:hAnsi="Times New Roman"/>
          <w:sz w:val="14"/>
        </w:rPr>
      </w:pPr>
    </w:p>
    <w:p w:rsidR="00FC550C" w:rsidRDefault="00FC550C" w:rsidP="00FC550C">
      <w:pPr>
        <w:pStyle w:val="a3"/>
        <w:numPr>
          <w:ilvl w:val="0"/>
          <w:numId w:val="12"/>
        </w:numPr>
        <w:jc w:val="both"/>
        <w:rPr>
          <w:rFonts w:ascii="Times New Roman" w:hAnsi="Times New Roman"/>
        </w:rPr>
      </w:pPr>
      <w:proofErr w:type="gramStart"/>
      <w:r w:rsidRPr="00012662">
        <w:rPr>
          <w:rFonts w:ascii="Times New Roman" w:hAnsi="Times New Roman"/>
        </w:rPr>
        <w:t>if</w:t>
      </w:r>
      <w:proofErr w:type="gramEnd"/>
      <w:r w:rsidRPr="00012662">
        <w:rPr>
          <w:rFonts w:ascii="Times New Roman" w:hAnsi="Times New Roman"/>
        </w:rPr>
        <w:t xml:space="preserve"> that is the case, to have that information communicated to him.</w:t>
      </w:r>
    </w:p>
    <w:p w:rsidR="00FC550C" w:rsidRDefault="00FC550C" w:rsidP="00FC550C">
      <w:pPr>
        <w:pStyle w:val="a3"/>
        <w:jc w:val="both"/>
        <w:rPr>
          <w:rFonts w:ascii="Times New Roman" w:hAnsi="Times New Roman"/>
        </w:rPr>
      </w:pPr>
    </w:p>
    <w:p w:rsidR="00FC550C" w:rsidRDefault="00FC550C" w:rsidP="00FC550C">
      <w:pPr>
        <w:pStyle w:val="a3"/>
        <w:jc w:val="both"/>
        <w:rPr>
          <w:rFonts w:ascii="Times New Roman" w:hAnsi="Times New Roman"/>
        </w:rPr>
      </w:pPr>
    </w:p>
    <w:p w:rsidR="00FC550C" w:rsidRDefault="00FC550C" w:rsidP="00FC550C">
      <w:pPr>
        <w:pStyle w:val="a3"/>
        <w:numPr>
          <w:ilvl w:val="0"/>
          <w:numId w:val="13"/>
        </w:numPr>
        <w:ind w:left="406" w:hanging="406"/>
        <w:jc w:val="both"/>
        <w:rPr>
          <w:rFonts w:ascii="Times New Roman" w:hAnsi="Times New Roman"/>
          <w:b/>
        </w:rPr>
      </w:pPr>
      <w:r>
        <w:rPr>
          <w:rFonts w:ascii="Times New Roman" w:hAnsi="Times New Roman"/>
          <w:b/>
        </w:rPr>
        <w:t xml:space="preserve">  </w:t>
      </w:r>
      <w:r w:rsidRPr="00012662">
        <w:rPr>
          <w:rFonts w:ascii="Times New Roman" w:hAnsi="Times New Roman"/>
          <w:b/>
        </w:rPr>
        <w:t>Prejudice to effective conduct of public affairs</w:t>
      </w:r>
    </w:p>
    <w:p w:rsidR="00FC550C" w:rsidRPr="000F2F6E" w:rsidRDefault="00FC550C" w:rsidP="00FC550C">
      <w:pPr>
        <w:pStyle w:val="a3"/>
        <w:ind w:left="406"/>
        <w:jc w:val="both"/>
        <w:rPr>
          <w:rFonts w:ascii="Times New Roman" w:hAnsi="Times New Roman"/>
          <w:b/>
          <w:sz w:val="14"/>
        </w:rPr>
      </w:pPr>
    </w:p>
    <w:p w:rsidR="00FC550C" w:rsidRDefault="00FC550C" w:rsidP="00FC550C">
      <w:pPr>
        <w:pStyle w:val="a3"/>
        <w:numPr>
          <w:ilvl w:val="0"/>
          <w:numId w:val="15"/>
        </w:numPr>
        <w:rPr>
          <w:rFonts w:ascii="Times New Roman" w:hAnsi="Times New Roman"/>
        </w:rPr>
      </w:pPr>
      <w:r w:rsidRPr="00012662">
        <w:rPr>
          <w:rFonts w:ascii="Times New Roman" w:hAnsi="Times New Roman"/>
        </w:rPr>
        <w:t>Information to which this section applies is exempt information if, in the reasonable opinion of a qualified person, disclosure of the information under this Act—</w:t>
      </w:r>
    </w:p>
    <w:p w:rsidR="00FC550C" w:rsidRPr="000F2F6E" w:rsidRDefault="00FC550C" w:rsidP="00FC550C">
      <w:pPr>
        <w:pStyle w:val="a3"/>
        <w:ind w:left="360"/>
        <w:rPr>
          <w:rFonts w:ascii="Times New Roman" w:hAnsi="Times New Roman"/>
          <w:sz w:val="14"/>
        </w:rPr>
      </w:pPr>
    </w:p>
    <w:p w:rsidR="00FC550C" w:rsidRDefault="00FC550C" w:rsidP="00FC550C">
      <w:pPr>
        <w:ind w:left="360"/>
        <w:rPr>
          <w:rFonts w:ascii="Times New Roman" w:hAnsi="Times New Roman"/>
        </w:rPr>
      </w:pPr>
      <w:r>
        <w:rPr>
          <w:rFonts w:ascii="Times New Roman" w:hAnsi="Times New Roman"/>
        </w:rPr>
        <w:t>[...]</w:t>
      </w:r>
    </w:p>
    <w:p w:rsidR="00FC550C" w:rsidRPr="008F16F9" w:rsidRDefault="00FC550C" w:rsidP="00FC550C">
      <w:pPr>
        <w:rPr>
          <w:rFonts w:ascii="Times New Roman" w:hAnsi="Times New Roman"/>
        </w:rPr>
      </w:pPr>
      <w:r>
        <w:rPr>
          <w:rFonts w:ascii="Times New Roman" w:hAnsi="Times New Roman"/>
        </w:rPr>
        <w:t xml:space="preserve"> </w:t>
      </w:r>
    </w:p>
    <w:p w:rsidR="00FC550C" w:rsidRDefault="00FC550C" w:rsidP="00FC550C">
      <w:pPr>
        <w:pStyle w:val="a3"/>
        <w:numPr>
          <w:ilvl w:val="0"/>
          <w:numId w:val="16"/>
        </w:numPr>
        <w:rPr>
          <w:rFonts w:ascii="Times New Roman" w:hAnsi="Times New Roman"/>
        </w:rPr>
      </w:pPr>
      <w:r w:rsidRPr="008F16F9">
        <w:rPr>
          <w:rFonts w:ascii="Times New Roman" w:hAnsi="Times New Roman"/>
        </w:rPr>
        <w:t>would, or would be likely to, inhibit—</w:t>
      </w:r>
    </w:p>
    <w:p w:rsidR="00FC550C" w:rsidRPr="000F2F6E" w:rsidRDefault="00FC550C" w:rsidP="00FC550C">
      <w:pPr>
        <w:pStyle w:val="a3"/>
        <w:rPr>
          <w:rFonts w:ascii="Times New Roman" w:hAnsi="Times New Roman"/>
          <w:sz w:val="14"/>
        </w:rPr>
      </w:pPr>
    </w:p>
    <w:p w:rsidR="00FC550C" w:rsidRDefault="00FC550C" w:rsidP="00FC550C">
      <w:pPr>
        <w:ind w:left="360"/>
        <w:rPr>
          <w:rFonts w:ascii="Times New Roman" w:hAnsi="Times New Roman"/>
        </w:rPr>
      </w:pPr>
      <w:r w:rsidRPr="008F16F9">
        <w:rPr>
          <w:rFonts w:ascii="Times New Roman" w:hAnsi="Times New Roman"/>
        </w:rPr>
        <w:t>[...]</w:t>
      </w:r>
    </w:p>
    <w:p w:rsidR="00FC550C" w:rsidRDefault="00FC550C" w:rsidP="00FC550C">
      <w:pPr>
        <w:ind w:left="720"/>
        <w:rPr>
          <w:rFonts w:ascii="Times New Roman" w:hAnsi="Times New Roman"/>
        </w:rPr>
      </w:pPr>
      <w:r w:rsidRPr="008F16F9">
        <w:rPr>
          <w:rFonts w:ascii="Times New Roman" w:hAnsi="Times New Roman"/>
        </w:rPr>
        <w:t>(ii)</w:t>
      </w:r>
      <w:r>
        <w:rPr>
          <w:rFonts w:ascii="Times New Roman" w:hAnsi="Times New Roman"/>
        </w:rPr>
        <w:t xml:space="preserve"> </w:t>
      </w:r>
      <w:proofErr w:type="gramStart"/>
      <w:r w:rsidRPr="008F16F9">
        <w:rPr>
          <w:rFonts w:ascii="Times New Roman" w:hAnsi="Times New Roman"/>
        </w:rPr>
        <w:t>the</w:t>
      </w:r>
      <w:proofErr w:type="gramEnd"/>
      <w:r w:rsidRPr="008F16F9">
        <w:rPr>
          <w:rFonts w:ascii="Times New Roman" w:hAnsi="Times New Roman"/>
        </w:rPr>
        <w:t xml:space="preserve"> free and frank exchange of views for the purposes of deliberation, or </w:t>
      </w:r>
    </w:p>
    <w:p w:rsidR="00FC550C" w:rsidRPr="000F2F6E" w:rsidRDefault="00FC550C" w:rsidP="00FC550C">
      <w:pPr>
        <w:ind w:left="408" w:firstLine="312"/>
        <w:rPr>
          <w:rFonts w:ascii="Times New Roman" w:hAnsi="Times New Roman"/>
          <w:sz w:val="14"/>
        </w:rPr>
      </w:pPr>
    </w:p>
    <w:p w:rsidR="00FC550C" w:rsidRDefault="00FC550C" w:rsidP="00FC550C">
      <w:pPr>
        <w:pStyle w:val="a3"/>
        <w:numPr>
          <w:ilvl w:val="0"/>
          <w:numId w:val="12"/>
        </w:numPr>
        <w:rPr>
          <w:rFonts w:ascii="Times New Roman" w:hAnsi="Times New Roman"/>
        </w:rPr>
      </w:pPr>
      <w:proofErr w:type="gramStart"/>
      <w:r w:rsidRPr="008F16F9">
        <w:rPr>
          <w:rFonts w:ascii="Times New Roman" w:hAnsi="Times New Roman"/>
        </w:rPr>
        <w:t>would</w:t>
      </w:r>
      <w:proofErr w:type="gramEnd"/>
      <w:r w:rsidRPr="008F16F9">
        <w:rPr>
          <w:rFonts w:ascii="Times New Roman" w:hAnsi="Times New Roman"/>
        </w:rPr>
        <w:t xml:space="preserve"> otherwise prejudice, or would be likely otherwise to prejudice, the effective conduct of public affairs.</w:t>
      </w:r>
    </w:p>
    <w:p w:rsidR="00FC550C" w:rsidRDefault="00FC550C" w:rsidP="00FC550C">
      <w:pPr>
        <w:rPr>
          <w:rFonts w:ascii="Times New Roman" w:hAnsi="Times New Roman"/>
        </w:rPr>
      </w:pPr>
    </w:p>
    <w:p w:rsidR="00FC550C" w:rsidRDefault="00FC550C" w:rsidP="00FC550C">
      <w:pPr>
        <w:pStyle w:val="a3"/>
        <w:numPr>
          <w:ilvl w:val="0"/>
          <w:numId w:val="17"/>
        </w:numPr>
        <w:rPr>
          <w:rFonts w:ascii="Times New Roman" w:hAnsi="Times New Roman"/>
          <w:b/>
        </w:rPr>
      </w:pPr>
      <w:r w:rsidRPr="008F16F9">
        <w:rPr>
          <w:rFonts w:ascii="Times New Roman" w:hAnsi="Times New Roman"/>
          <w:b/>
        </w:rPr>
        <w:t>Commercial interests</w:t>
      </w:r>
    </w:p>
    <w:p w:rsidR="00FC550C" w:rsidRPr="008F16F9" w:rsidRDefault="00FC550C" w:rsidP="00FC550C">
      <w:pPr>
        <w:ind w:left="360"/>
        <w:rPr>
          <w:rFonts w:ascii="Times New Roman" w:hAnsi="Times New Roman"/>
          <w:b/>
        </w:rPr>
      </w:pPr>
      <w:r>
        <w:rPr>
          <w:rFonts w:ascii="Times New Roman" w:hAnsi="Times New Roman"/>
          <w:b/>
        </w:rPr>
        <w:t xml:space="preserve">[...] </w:t>
      </w:r>
    </w:p>
    <w:p w:rsidR="00FC550C" w:rsidRPr="008F16F9" w:rsidRDefault="00FC550C" w:rsidP="00FC550C">
      <w:pPr>
        <w:pStyle w:val="a3"/>
        <w:numPr>
          <w:ilvl w:val="0"/>
          <w:numId w:val="18"/>
        </w:numPr>
        <w:rPr>
          <w:rFonts w:ascii="Times New Roman" w:hAnsi="Times New Roman"/>
        </w:rPr>
      </w:pPr>
      <w:r w:rsidRPr="008F16F9">
        <w:rPr>
          <w:rFonts w:ascii="Times New Roman" w:hAnsi="Times New Roman"/>
        </w:rPr>
        <w:t xml:space="preserve">Information is exempt information if its disclosure under this Act would, or would be likely </w:t>
      </w:r>
      <w:proofErr w:type="gramStart"/>
      <w:r w:rsidRPr="008F16F9">
        <w:rPr>
          <w:rFonts w:ascii="Times New Roman" w:hAnsi="Times New Roman"/>
        </w:rPr>
        <w:t>to,</w:t>
      </w:r>
      <w:proofErr w:type="gramEnd"/>
      <w:r w:rsidRPr="008F16F9">
        <w:rPr>
          <w:rFonts w:ascii="Times New Roman" w:hAnsi="Times New Roman"/>
        </w:rPr>
        <w:t xml:space="preserve"> prejudice the commercial interests of any person (including the public authority holding it).</w:t>
      </w:r>
    </w:p>
    <w:p w:rsidR="00FC550C" w:rsidRPr="00FC550C" w:rsidRDefault="00FC550C" w:rsidP="00187DF3">
      <w:pPr>
        <w:rPr>
          <w:rFonts w:ascii="Times New Roman" w:eastAsiaTheme="minorEastAsia" w:hAnsi="Times New Roman" w:hint="eastAsia"/>
          <w:lang w:eastAsia="zh-CN"/>
        </w:rPr>
      </w:pPr>
    </w:p>
    <w:p w:rsidR="00FC550C" w:rsidRPr="00FC550C" w:rsidRDefault="00FC550C" w:rsidP="00187DF3">
      <w:pPr>
        <w:rPr>
          <w:rFonts w:ascii="Times New Roman" w:eastAsiaTheme="minorEastAsia" w:hAnsi="Times New Roman" w:hint="eastAsia"/>
          <w:lang w:eastAsia="zh-CN"/>
        </w:rPr>
      </w:pPr>
    </w:p>
    <w:sectPr w:rsidR="00FC550C" w:rsidRPr="00FC550C" w:rsidSect="00183D1B">
      <w:footerReference w:type="default" r:id="rId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E7F" w:rsidRDefault="002E2E7F" w:rsidP="00187DF3">
      <w:r>
        <w:separator/>
      </w:r>
    </w:p>
  </w:endnote>
  <w:endnote w:type="continuationSeparator" w:id="0">
    <w:p w:rsidR="002E2E7F" w:rsidRDefault="002E2E7F" w:rsidP="00187D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alatino">
    <w:altName w:val="Book Antiqua"/>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25918"/>
      <w:docPartObj>
        <w:docPartGallery w:val="Page Numbers (Bottom of Page)"/>
        <w:docPartUnique/>
      </w:docPartObj>
    </w:sdtPr>
    <w:sdtContent>
      <w:p w:rsidR="00FC550C" w:rsidRDefault="00FC550C">
        <w:pPr>
          <w:pStyle w:val="a5"/>
          <w:jc w:val="center"/>
        </w:pPr>
        <w:fldSimple w:instr=" PAGE   \* MERGEFORMAT ">
          <w:r w:rsidR="00DC45FC" w:rsidRPr="00DC45FC">
            <w:rPr>
              <w:noProof/>
              <w:lang w:val="zh-CN"/>
            </w:rPr>
            <w:t>1</w:t>
          </w:r>
        </w:fldSimple>
      </w:p>
    </w:sdtContent>
  </w:sdt>
  <w:p w:rsidR="00FC550C" w:rsidRDefault="00FC550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E7F" w:rsidRDefault="002E2E7F" w:rsidP="00187DF3">
      <w:r>
        <w:separator/>
      </w:r>
    </w:p>
  </w:footnote>
  <w:footnote w:type="continuationSeparator" w:id="0">
    <w:p w:rsidR="002E2E7F" w:rsidRDefault="002E2E7F" w:rsidP="00187DF3">
      <w:r>
        <w:continuationSeparator/>
      </w:r>
    </w:p>
  </w:footnote>
  <w:footnote w:id="1">
    <w:p w:rsidR="00187DF3" w:rsidRPr="008045F3" w:rsidRDefault="00187DF3" w:rsidP="00187DF3">
      <w:pPr>
        <w:pStyle w:val="a6"/>
        <w:spacing w:line="276" w:lineRule="auto"/>
        <w:rPr>
          <w:sz w:val="20"/>
          <w:szCs w:val="20"/>
        </w:rPr>
      </w:pPr>
      <w:r w:rsidRPr="008045F3">
        <w:rPr>
          <w:rStyle w:val="a7"/>
          <w:sz w:val="20"/>
          <w:szCs w:val="20"/>
        </w:rPr>
        <w:footnoteRef/>
      </w:r>
      <w:r w:rsidRPr="008045F3">
        <w:rPr>
          <w:sz w:val="20"/>
          <w:szCs w:val="20"/>
        </w:rPr>
        <w:t xml:space="preserve"> </w:t>
      </w:r>
      <w:r w:rsidRPr="008045F3">
        <w:rPr>
          <w:i/>
          <w:sz w:val="20"/>
          <w:szCs w:val="20"/>
        </w:rPr>
        <w:t xml:space="preserve">R v Secretary of State for Foreign and Commonwealth Affairs, ex parte World Development Movement Ltd </w:t>
      </w:r>
      <w:r w:rsidRPr="008045F3">
        <w:rPr>
          <w:sz w:val="20"/>
          <w:szCs w:val="20"/>
        </w:rPr>
        <w:t>[1995] 1 WLR 386</w:t>
      </w:r>
    </w:p>
  </w:footnote>
  <w:footnote w:id="2">
    <w:p w:rsidR="00187DF3" w:rsidRPr="00275539" w:rsidRDefault="00187DF3" w:rsidP="00187DF3">
      <w:pPr>
        <w:pStyle w:val="a6"/>
        <w:spacing w:line="276" w:lineRule="auto"/>
        <w:rPr>
          <w:sz w:val="20"/>
          <w:szCs w:val="20"/>
        </w:rPr>
      </w:pPr>
      <w:r w:rsidRPr="008045F3">
        <w:rPr>
          <w:rStyle w:val="a7"/>
          <w:sz w:val="20"/>
          <w:szCs w:val="20"/>
        </w:rPr>
        <w:footnoteRef/>
      </w:r>
      <w:r w:rsidRPr="008045F3">
        <w:rPr>
          <w:sz w:val="20"/>
          <w:szCs w:val="20"/>
        </w:rPr>
        <w:t xml:space="preserve"> </w:t>
      </w:r>
      <w:r w:rsidRPr="008045F3">
        <w:rPr>
          <w:i/>
          <w:sz w:val="20"/>
          <w:szCs w:val="20"/>
        </w:rPr>
        <w:t xml:space="preserve">Associated Provincial Picture Houses Ltd v </w:t>
      </w:r>
      <w:proofErr w:type="spellStart"/>
      <w:r w:rsidRPr="008045F3">
        <w:rPr>
          <w:i/>
          <w:sz w:val="20"/>
          <w:szCs w:val="20"/>
        </w:rPr>
        <w:t>Wednesbury</w:t>
      </w:r>
      <w:proofErr w:type="spellEnd"/>
      <w:r w:rsidRPr="008045F3">
        <w:rPr>
          <w:i/>
          <w:sz w:val="20"/>
          <w:szCs w:val="20"/>
        </w:rPr>
        <w:t xml:space="preserve"> Corporation </w:t>
      </w:r>
      <w:r w:rsidRPr="008045F3">
        <w:rPr>
          <w:sz w:val="20"/>
          <w:szCs w:val="20"/>
        </w:rPr>
        <w:t>[1948] 1 KB 223 (CA) 230</w:t>
      </w:r>
    </w:p>
  </w:footnote>
  <w:footnote w:id="3">
    <w:p w:rsidR="007867B3" w:rsidRPr="00DA36C4" w:rsidRDefault="007867B3" w:rsidP="007867B3">
      <w:pPr>
        <w:pStyle w:val="a6"/>
        <w:spacing w:line="276" w:lineRule="auto"/>
        <w:rPr>
          <w:sz w:val="20"/>
          <w:szCs w:val="20"/>
        </w:rPr>
      </w:pPr>
      <w:r w:rsidRPr="00DA36C4">
        <w:rPr>
          <w:rStyle w:val="a7"/>
          <w:sz w:val="20"/>
          <w:szCs w:val="20"/>
        </w:rPr>
        <w:footnoteRef/>
      </w:r>
      <w:r w:rsidRPr="00DA36C4">
        <w:rPr>
          <w:sz w:val="20"/>
          <w:szCs w:val="20"/>
        </w:rPr>
        <w:t xml:space="preserve"> </w:t>
      </w:r>
      <w:proofErr w:type="gramStart"/>
      <w:r w:rsidRPr="00DA36C4">
        <w:rPr>
          <w:i/>
          <w:sz w:val="20"/>
          <w:szCs w:val="20"/>
        </w:rPr>
        <w:t xml:space="preserve">R v Secretary of State for Foreign and Commonwealth Affairs, ex parte World Development Movement Ltd </w:t>
      </w:r>
      <w:r w:rsidRPr="00DA36C4">
        <w:rPr>
          <w:sz w:val="20"/>
          <w:szCs w:val="20"/>
        </w:rPr>
        <w:t>[1995] 1 WLR 386</w:t>
      </w:r>
      <w:r>
        <w:rPr>
          <w:sz w:val="20"/>
          <w:szCs w:val="20"/>
        </w:rPr>
        <w:t>.</w:t>
      </w:r>
      <w:proofErr w:type="gramEnd"/>
    </w:p>
  </w:footnote>
  <w:footnote w:id="4">
    <w:p w:rsidR="007867B3" w:rsidRPr="00DA36C4" w:rsidRDefault="007867B3" w:rsidP="007867B3">
      <w:pPr>
        <w:pStyle w:val="a6"/>
        <w:spacing w:line="276" w:lineRule="auto"/>
        <w:rPr>
          <w:sz w:val="20"/>
          <w:szCs w:val="20"/>
        </w:rPr>
      </w:pPr>
      <w:r w:rsidRPr="00DA36C4">
        <w:rPr>
          <w:rStyle w:val="a7"/>
          <w:sz w:val="20"/>
          <w:szCs w:val="20"/>
        </w:rPr>
        <w:footnoteRef/>
      </w:r>
      <w:r w:rsidRPr="00DA36C4">
        <w:rPr>
          <w:sz w:val="20"/>
          <w:szCs w:val="20"/>
        </w:rPr>
        <w:t xml:space="preserve"> </w:t>
      </w:r>
      <w:proofErr w:type="gramStart"/>
      <w:r w:rsidRPr="00DA36C4">
        <w:rPr>
          <w:i/>
          <w:sz w:val="20"/>
          <w:szCs w:val="20"/>
        </w:rPr>
        <w:t xml:space="preserve">Associated Provincial Picture Houses Ltd v </w:t>
      </w:r>
      <w:proofErr w:type="spellStart"/>
      <w:r w:rsidRPr="00DA36C4">
        <w:rPr>
          <w:i/>
          <w:sz w:val="20"/>
          <w:szCs w:val="20"/>
        </w:rPr>
        <w:t>Wednesbury</w:t>
      </w:r>
      <w:proofErr w:type="spellEnd"/>
      <w:r w:rsidRPr="00DA36C4">
        <w:rPr>
          <w:i/>
          <w:sz w:val="20"/>
          <w:szCs w:val="20"/>
        </w:rPr>
        <w:t xml:space="preserve"> Corporation </w:t>
      </w:r>
      <w:r w:rsidRPr="00DA36C4">
        <w:rPr>
          <w:sz w:val="20"/>
          <w:szCs w:val="20"/>
        </w:rPr>
        <w:t>[1948] 1 KB 223 (CA) 230</w:t>
      </w:r>
      <w:r>
        <w:rPr>
          <w:sz w:val="20"/>
          <w:szCs w:val="20"/>
        </w:rPr>
        <w:t>.</w:t>
      </w:r>
      <w:proofErr w:type="gramEnd"/>
    </w:p>
  </w:footnote>
  <w:footnote w:id="5">
    <w:p w:rsidR="007867B3" w:rsidRPr="00DA36C4" w:rsidRDefault="007867B3" w:rsidP="007867B3">
      <w:pPr>
        <w:pStyle w:val="a6"/>
        <w:rPr>
          <w:rFonts w:cstheme="minorHAnsi"/>
          <w:sz w:val="20"/>
          <w:szCs w:val="20"/>
        </w:rPr>
      </w:pPr>
      <w:r w:rsidRPr="00DA36C4">
        <w:rPr>
          <w:rStyle w:val="a7"/>
          <w:rFonts w:cstheme="minorHAnsi"/>
          <w:sz w:val="20"/>
          <w:szCs w:val="20"/>
        </w:rPr>
        <w:footnoteRef/>
      </w:r>
      <w:r w:rsidRPr="00DA36C4">
        <w:rPr>
          <w:rFonts w:cstheme="minorHAnsi"/>
          <w:sz w:val="20"/>
          <w:szCs w:val="20"/>
        </w:rPr>
        <w:t xml:space="preserve"> </w:t>
      </w:r>
      <w:r w:rsidRPr="00DA36C4">
        <w:rPr>
          <w:rFonts w:cstheme="minorHAnsi"/>
          <w:sz w:val="20"/>
          <w:szCs w:val="20"/>
        </w:rPr>
        <w:fldChar w:fldCharType="begin"/>
      </w:r>
      <w:r w:rsidRPr="00DA36C4">
        <w:rPr>
          <w:rFonts w:cstheme="minorHAnsi"/>
          <w:sz w:val="20"/>
          <w:szCs w:val="20"/>
        </w:rPr>
        <w:instrText xml:space="preserve"> ADDIN ZOTERO_ITEM CSL_CITATION {"citationID":"0lwpEK9u","properties":{"formattedCitation":"{\\rtf Carol Harlow, \\uc0\\u8216{}Public Law and Popular Justice\\uc0\\u8217{} (2002) 65 The Modern Law Review 1.}","plainCitation":"Carol Harlow, ‘Public Law and Popular Justice’ (2002) 65 The Modern Law Review 1."},"citationItems":[{"id":123,"uris":["http://zotero.org/users/945934/items/8KMMUXAQ"],"uri":["http://zotero.org/users/945934/items/8KMMUXAQ"],"itemData":{"id":123,"type":"article-journal","title":"Public law and popular justice","container-title":"The Modern Law Review","page":"1–18","volume":"65","issue":"1","author":[{"family":"Harlow","given":"Carol"}],"issued":{"date-parts":[["2002"]]}}}],"schema":"https://github.com/citation-style-language/schema/raw/master/csl-citation.json"} </w:instrText>
      </w:r>
      <w:r w:rsidRPr="00DA36C4">
        <w:rPr>
          <w:rFonts w:cstheme="minorHAnsi"/>
          <w:sz w:val="20"/>
          <w:szCs w:val="20"/>
        </w:rPr>
        <w:fldChar w:fldCharType="separate"/>
      </w:r>
      <w:r w:rsidRPr="00DA36C4">
        <w:rPr>
          <w:rFonts w:cstheme="minorHAnsi"/>
          <w:sz w:val="20"/>
          <w:szCs w:val="20"/>
        </w:rPr>
        <w:t xml:space="preserve">Carol Harlow, ‘Public Law and Popular Justice’ (2002) 65 </w:t>
      </w:r>
      <w:proofErr w:type="gramStart"/>
      <w:r w:rsidRPr="00DA36C4">
        <w:rPr>
          <w:rFonts w:cstheme="minorHAnsi"/>
          <w:sz w:val="20"/>
          <w:szCs w:val="20"/>
        </w:rPr>
        <w:t>The</w:t>
      </w:r>
      <w:proofErr w:type="gramEnd"/>
      <w:r w:rsidRPr="00DA36C4">
        <w:rPr>
          <w:rFonts w:cstheme="minorHAnsi"/>
          <w:sz w:val="20"/>
          <w:szCs w:val="20"/>
        </w:rPr>
        <w:t xml:space="preserve"> Modern Law Review 1.</w:t>
      </w:r>
      <w:r w:rsidRPr="00DA36C4">
        <w:rPr>
          <w:rFonts w:cstheme="minorHAnsi"/>
          <w:sz w:val="20"/>
          <w:szCs w:val="20"/>
        </w:rPr>
        <w:fldChar w:fldCharType="end"/>
      </w:r>
    </w:p>
  </w:footnote>
  <w:footnote w:id="6">
    <w:p w:rsidR="007867B3" w:rsidRPr="00DA36C4" w:rsidRDefault="007867B3" w:rsidP="007867B3">
      <w:pPr>
        <w:pStyle w:val="a6"/>
        <w:rPr>
          <w:rFonts w:cstheme="minorHAnsi"/>
          <w:sz w:val="20"/>
          <w:szCs w:val="20"/>
        </w:rPr>
      </w:pPr>
      <w:r w:rsidRPr="00DA36C4">
        <w:rPr>
          <w:rStyle w:val="a7"/>
          <w:rFonts w:cstheme="minorHAnsi"/>
          <w:sz w:val="20"/>
          <w:szCs w:val="20"/>
        </w:rPr>
        <w:footnoteRef/>
      </w:r>
      <w:r w:rsidRPr="00DA36C4">
        <w:rPr>
          <w:rFonts w:cstheme="minorHAnsi"/>
          <w:sz w:val="20"/>
          <w:szCs w:val="20"/>
        </w:rPr>
        <w:t xml:space="preserve"> </w:t>
      </w:r>
      <w:proofErr w:type="gramStart"/>
      <w:r w:rsidRPr="00DA36C4">
        <w:rPr>
          <w:rFonts w:cstheme="minorHAnsi"/>
          <w:i/>
          <w:sz w:val="20"/>
          <w:szCs w:val="20"/>
        </w:rPr>
        <w:t>R v Somerset CC ex p. Dixon</w:t>
      </w:r>
      <w:r w:rsidRPr="00DA36C4">
        <w:rPr>
          <w:rFonts w:cstheme="minorHAnsi"/>
          <w:sz w:val="20"/>
          <w:szCs w:val="20"/>
        </w:rPr>
        <w:t xml:space="preserve"> [1988] </w:t>
      </w:r>
      <w:proofErr w:type="spellStart"/>
      <w:r w:rsidRPr="00DA36C4">
        <w:rPr>
          <w:rFonts w:cstheme="minorHAnsi"/>
          <w:sz w:val="20"/>
          <w:szCs w:val="20"/>
        </w:rPr>
        <w:t>Env</w:t>
      </w:r>
      <w:proofErr w:type="spellEnd"/>
      <w:r w:rsidRPr="00DA36C4">
        <w:rPr>
          <w:rFonts w:cstheme="minorHAnsi"/>
          <w:sz w:val="20"/>
          <w:szCs w:val="20"/>
        </w:rPr>
        <w:t>.</w:t>
      </w:r>
      <w:proofErr w:type="gramEnd"/>
      <w:r w:rsidRPr="00DA36C4">
        <w:rPr>
          <w:rFonts w:cstheme="minorHAnsi"/>
          <w:sz w:val="20"/>
          <w:szCs w:val="20"/>
        </w:rPr>
        <w:t xml:space="preserve"> </w:t>
      </w:r>
      <w:proofErr w:type="gramStart"/>
      <w:r w:rsidRPr="00DA36C4">
        <w:rPr>
          <w:rFonts w:cstheme="minorHAnsi"/>
          <w:sz w:val="20"/>
          <w:szCs w:val="20"/>
        </w:rPr>
        <w:t>LR 111</w:t>
      </w:r>
      <w:r>
        <w:rPr>
          <w:rFonts w:cstheme="minorHAnsi"/>
          <w:sz w:val="20"/>
          <w:szCs w:val="20"/>
        </w:rPr>
        <w:t>.</w:t>
      </w:r>
      <w:proofErr w:type="gramEnd"/>
    </w:p>
  </w:footnote>
  <w:footnote w:id="7">
    <w:p w:rsidR="007867B3" w:rsidRPr="00DA36C4" w:rsidRDefault="007867B3" w:rsidP="007867B3">
      <w:pPr>
        <w:pStyle w:val="a6"/>
        <w:rPr>
          <w:rFonts w:cstheme="minorHAnsi"/>
          <w:sz w:val="20"/>
          <w:szCs w:val="20"/>
        </w:rPr>
      </w:pPr>
      <w:r w:rsidRPr="00DA36C4">
        <w:rPr>
          <w:rStyle w:val="a7"/>
          <w:rFonts w:cstheme="minorHAnsi"/>
          <w:sz w:val="20"/>
          <w:szCs w:val="20"/>
        </w:rPr>
        <w:footnoteRef/>
      </w:r>
      <w:r w:rsidRPr="00DA36C4">
        <w:rPr>
          <w:rFonts w:cstheme="minorHAnsi"/>
          <w:sz w:val="20"/>
          <w:szCs w:val="20"/>
        </w:rPr>
        <w:t xml:space="preserve"> </w:t>
      </w:r>
      <w:r w:rsidRPr="00DA36C4">
        <w:rPr>
          <w:rFonts w:cstheme="minorHAnsi"/>
          <w:sz w:val="20"/>
          <w:szCs w:val="20"/>
        </w:rPr>
        <w:fldChar w:fldCharType="begin"/>
      </w:r>
      <w:r w:rsidRPr="00DA36C4">
        <w:rPr>
          <w:rFonts w:cstheme="minorHAnsi"/>
          <w:sz w:val="20"/>
          <w:szCs w:val="20"/>
        </w:rPr>
        <w:instrText xml:space="preserve"> ADDIN ZOTERO_ITEM CSL_CITATION {"citationID":"f62j04OE","properties":{"formattedCitation":"{\\rtf Kenneth E Scott, \\uc0\\u8216{}Standing in the Supreme Court: A Functional Analysis\\uc0\\u8217{} [1973] Harvard Law Review 645.}","plainCitation":"Kenneth E Scott, ‘Standing in the Supreme Court: A Functional Analysis’ [1973] Harvard Law Review 645."},"citationItems":[{"id":195,"uris":["http://zotero.org/users/945934/items/JP49EIT5"],"uri":["http://zotero.org/users/945934/items/JP49EIT5"],"itemData":{"id":195,"type":"article-journal","title":"Standing in the Supreme Court: A Functional Analysis","container-title":"Harvard Law Review","page":"645–692","author":[{"family":"Scott","given":"Kenneth E"}],"issued":{"date-parts":[["1973"]]}}}],"schema":"https://github.com/citation-style-language/schema/raw/master/csl-citation.json"} </w:instrText>
      </w:r>
      <w:r w:rsidRPr="00DA36C4">
        <w:rPr>
          <w:rFonts w:cstheme="minorHAnsi"/>
          <w:sz w:val="20"/>
          <w:szCs w:val="20"/>
        </w:rPr>
        <w:fldChar w:fldCharType="separate"/>
      </w:r>
      <w:r w:rsidRPr="00DA36C4">
        <w:rPr>
          <w:rFonts w:cstheme="minorHAnsi"/>
          <w:sz w:val="20"/>
          <w:szCs w:val="20"/>
        </w:rPr>
        <w:t>Kenneth E Scott, ‘Standing in the Supreme Court: A Functional Analysis’ [1973] Harvard Law Review 645.</w:t>
      </w:r>
      <w:r w:rsidRPr="00DA36C4">
        <w:rPr>
          <w:rFonts w:cstheme="minorHAnsi"/>
          <w:sz w:val="20"/>
          <w:szCs w:val="20"/>
        </w:rPr>
        <w:fldChar w:fldCharType="end"/>
      </w:r>
    </w:p>
  </w:footnote>
  <w:footnote w:id="8">
    <w:p w:rsidR="007867B3" w:rsidRPr="00DA36C4" w:rsidRDefault="007867B3" w:rsidP="007867B3">
      <w:pPr>
        <w:pStyle w:val="a6"/>
        <w:rPr>
          <w:rFonts w:cstheme="minorHAnsi"/>
          <w:sz w:val="20"/>
          <w:szCs w:val="20"/>
        </w:rPr>
      </w:pPr>
      <w:r w:rsidRPr="00DA36C4">
        <w:rPr>
          <w:rStyle w:val="a7"/>
          <w:rFonts w:cstheme="minorHAnsi"/>
          <w:sz w:val="20"/>
          <w:szCs w:val="20"/>
        </w:rPr>
        <w:footnoteRef/>
      </w:r>
      <w:r w:rsidRPr="00DA36C4">
        <w:rPr>
          <w:rFonts w:cstheme="minorHAnsi"/>
          <w:sz w:val="20"/>
          <w:szCs w:val="20"/>
        </w:rPr>
        <w:t xml:space="preserve"> </w:t>
      </w:r>
      <w:r w:rsidRPr="00DA36C4">
        <w:rPr>
          <w:rFonts w:cstheme="minorHAnsi"/>
          <w:i/>
          <w:sz w:val="20"/>
          <w:szCs w:val="20"/>
        </w:rPr>
        <w:t>Reg. v. Inland Revenue Commissioners, Ex parte National Federation of Self-Employed and Small Businesses Ltd.</w:t>
      </w:r>
      <w:r w:rsidRPr="00DA36C4">
        <w:rPr>
          <w:rFonts w:cstheme="minorHAnsi"/>
          <w:sz w:val="20"/>
          <w:szCs w:val="20"/>
        </w:rPr>
        <w:t xml:space="preserve"> [1982] A.C. 617</w:t>
      </w:r>
      <w:r>
        <w:rPr>
          <w:rFonts w:cstheme="minorHAnsi"/>
          <w:sz w:val="20"/>
          <w:szCs w:val="20"/>
        </w:rPr>
        <w:t>.</w:t>
      </w:r>
    </w:p>
  </w:footnote>
  <w:footnote w:id="9">
    <w:p w:rsidR="007867B3" w:rsidRPr="00DA36C4" w:rsidRDefault="007867B3" w:rsidP="007867B3">
      <w:pPr>
        <w:pStyle w:val="a6"/>
        <w:rPr>
          <w:rFonts w:cstheme="minorHAnsi"/>
          <w:sz w:val="20"/>
          <w:szCs w:val="20"/>
        </w:rPr>
      </w:pPr>
      <w:r w:rsidRPr="00DA36C4">
        <w:rPr>
          <w:rStyle w:val="a7"/>
          <w:rFonts w:cstheme="minorHAnsi"/>
          <w:sz w:val="20"/>
          <w:szCs w:val="20"/>
        </w:rPr>
        <w:footnoteRef/>
      </w:r>
      <w:r w:rsidRPr="00DA36C4">
        <w:rPr>
          <w:rFonts w:cstheme="minorHAnsi"/>
          <w:sz w:val="20"/>
          <w:szCs w:val="20"/>
        </w:rPr>
        <w:t xml:space="preserve"> </w:t>
      </w:r>
      <w:proofErr w:type="spellStart"/>
      <w:r w:rsidRPr="00DA36C4">
        <w:rPr>
          <w:rFonts w:cstheme="minorHAnsi"/>
          <w:i/>
          <w:sz w:val="20"/>
          <w:szCs w:val="20"/>
        </w:rPr>
        <w:t>Gouriet</w:t>
      </w:r>
      <w:proofErr w:type="spellEnd"/>
      <w:r w:rsidRPr="00DA36C4">
        <w:rPr>
          <w:rFonts w:cstheme="minorHAnsi"/>
          <w:sz w:val="20"/>
          <w:szCs w:val="20"/>
        </w:rPr>
        <w:t xml:space="preserve"> </w:t>
      </w:r>
      <w:r w:rsidRPr="00DA36C4">
        <w:rPr>
          <w:rFonts w:cstheme="minorHAnsi"/>
          <w:i/>
          <w:sz w:val="20"/>
          <w:szCs w:val="20"/>
        </w:rPr>
        <w:t>v Attorney General</w:t>
      </w:r>
      <w:r w:rsidRPr="00DA36C4">
        <w:rPr>
          <w:rFonts w:cstheme="minorHAnsi"/>
          <w:sz w:val="20"/>
          <w:szCs w:val="20"/>
        </w:rPr>
        <w:t xml:space="preserve"> </w:t>
      </w:r>
      <w:r w:rsidRPr="00DA36C4">
        <w:rPr>
          <w:rFonts w:cstheme="minorHAnsi"/>
          <w:color w:val="343434"/>
          <w:sz w:val="20"/>
          <w:szCs w:val="20"/>
        </w:rPr>
        <w:t>[</w:t>
      </w:r>
      <w:r w:rsidRPr="00DA36C4">
        <w:rPr>
          <w:rFonts w:cstheme="minorHAnsi"/>
          <w:bCs/>
          <w:color w:val="343434"/>
          <w:sz w:val="20"/>
          <w:szCs w:val="20"/>
        </w:rPr>
        <w:t>1978</w:t>
      </w:r>
      <w:r w:rsidRPr="00DA36C4">
        <w:rPr>
          <w:rFonts w:cstheme="minorHAnsi"/>
          <w:color w:val="343434"/>
          <w:sz w:val="20"/>
          <w:szCs w:val="20"/>
        </w:rPr>
        <w:t>] A.C. 435</w:t>
      </w:r>
      <w:r>
        <w:rPr>
          <w:rFonts w:cstheme="minorHAnsi"/>
          <w:color w:val="343434"/>
          <w:sz w:val="20"/>
          <w:szCs w:val="20"/>
        </w:rPr>
        <w:t>.</w:t>
      </w:r>
    </w:p>
  </w:footnote>
  <w:footnote w:id="10">
    <w:p w:rsidR="007867B3" w:rsidRPr="00DA36C4" w:rsidRDefault="007867B3" w:rsidP="007867B3">
      <w:pPr>
        <w:pStyle w:val="a6"/>
        <w:rPr>
          <w:rFonts w:cstheme="minorHAnsi"/>
          <w:sz w:val="20"/>
          <w:szCs w:val="20"/>
        </w:rPr>
      </w:pPr>
      <w:r w:rsidRPr="00DA36C4">
        <w:rPr>
          <w:rStyle w:val="a7"/>
          <w:rFonts w:cstheme="minorHAnsi"/>
          <w:sz w:val="20"/>
          <w:szCs w:val="20"/>
        </w:rPr>
        <w:footnoteRef/>
      </w:r>
      <w:r w:rsidRPr="00DA36C4">
        <w:rPr>
          <w:rFonts w:cstheme="minorHAnsi"/>
          <w:sz w:val="20"/>
          <w:szCs w:val="20"/>
        </w:rPr>
        <w:t xml:space="preserve"> </w:t>
      </w:r>
      <w:proofErr w:type="gramStart"/>
      <w:r w:rsidRPr="00DA36C4">
        <w:rPr>
          <w:rFonts w:cstheme="minorHAnsi"/>
          <w:i/>
          <w:sz w:val="20"/>
          <w:szCs w:val="20"/>
        </w:rPr>
        <w:t>R(</w:t>
      </w:r>
      <w:proofErr w:type="spellStart"/>
      <w:proofErr w:type="gramEnd"/>
      <w:r w:rsidRPr="00DA36C4">
        <w:rPr>
          <w:rFonts w:cstheme="minorHAnsi"/>
          <w:i/>
          <w:sz w:val="20"/>
          <w:szCs w:val="20"/>
        </w:rPr>
        <w:t>Bancoult</w:t>
      </w:r>
      <w:proofErr w:type="spellEnd"/>
      <w:r w:rsidRPr="00DA36C4">
        <w:rPr>
          <w:rFonts w:cstheme="minorHAnsi"/>
          <w:i/>
          <w:sz w:val="20"/>
          <w:szCs w:val="20"/>
        </w:rPr>
        <w:t xml:space="preserve">) v SSFCA </w:t>
      </w:r>
      <w:r w:rsidRPr="00DA36C4">
        <w:rPr>
          <w:rFonts w:cstheme="minorHAnsi"/>
          <w:sz w:val="20"/>
          <w:szCs w:val="20"/>
        </w:rPr>
        <w:t>2007 EWCA CIV 498 at [61]</w:t>
      </w:r>
      <w:r>
        <w:rPr>
          <w:rFonts w:cstheme="minorHAnsi"/>
          <w:sz w:val="20"/>
          <w:szCs w:val="20"/>
        </w:rPr>
        <w:t>.</w:t>
      </w:r>
    </w:p>
  </w:footnote>
  <w:footnote w:id="11">
    <w:p w:rsidR="007867B3" w:rsidRPr="00DA36C4" w:rsidRDefault="007867B3" w:rsidP="007867B3">
      <w:pPr>
        <w:pStyle w:val="a6"/>
        <w:rPr>
          <w:rFonts w:cstheme="minorHAnsi"/>
          <w:sz w:val="20"/>
          <w:szCs w:val="20"/>
        </w:rPr>
      </w:pPr>
      <w:r w:rsidRPr="00DA36C4">
        <w:rPr>
          <w:rStyle w:val="a7"/>
          <w:rFonts w:cstheme="minorHAnsi"/>
          <w:sz w:val="20"/>
          <w:szCs w:val="20"/>
        </w:rPr>
        <w:footnoteRef/>
      </w:r>
      <w:r w:rsidRPr="00DA36C4">
        <w:rPr>
          <w:rFonts w:cstheme="minorHAnsi"/>
          <w:sz w:val="20"/>
          <w:szCs w:val="20"/>
        </w:rPr>
        <w:t xml:space="preserve"> </w:t>
      </w:r>
      <w:r w:rsidRPr="00DA36C4">
        <w:rPr>
          <w:rFonts w:cstheme="minorHAnsi"/>
          <w:sz w:val="20"/>
          <w:szCs w:val="20"/>
        </w:rPr>
        <w:fldChar w:fldCharType="begin"/>
      </w:r>
      <w:r w:rsidRPr="00DA36C4">
        <w:rPr>
          <w:rFonts w:cstheme="minorHAnsi"/>
          <w:sz w:val="20"/>
          <w:szCs w:val="20"/>
        </w:rPr>
        <w:instrText xml:space="preserve"> ADDIN ZOTERO_ITEM CSL_CITATION {"citationID":"HaRltCXN","properties":{"formattedCitation":"{\\rtf William Sir Wade and CF Forsyth, \\i Administrative Law / by William Wade, Christopher Forsyth\\i0{} (7th ed, Oxford\\uc0\\u8239{}: Clarendon Press\\uc0\\u8239{}; New York\\uc0\\u8239{}: Oxford University Press 1994) 712.}","plainCitation":"William Sir Wade and CF Forsyth, Administrative Law / by William Wade, Christopher Forsyth (7th ed, Oxford : Clarendon Press ; New York : Oxford University Press 1994) 712."},"citationItems":[{"id":209,"uris":["http://zotero.org/users/945934/items/QUKABPX5"],"uri":["http://zotero.org/users/945934/items/QUKABPX5"],"itemData":{"id":209,"type":"book","title":"Administrative law / by William Wade, Christopher Forsyth","publisher":"Oxford : Clarendon Press ; New York : Oxford University Press","edition":"7th ed","ISBN":"0198763093 (cloth : alk. paper)","note":"Includes index","language":"English","author":[{"family":"Wade","given":"William Sir"},{"family":"Forsyth","given":"C. F"}],"issued":{"date-parts":[["1994"]]}},"locator":"712","label":"page"}],"schema":"https://github.com/citation-style-language/schema/raw/master/csl-citation.json"} </w:instrText>
      </w:r>
      <w:r w:rsidRPr="00DA36C4">
        <w:rPr>
          <w:rFonts w:cstheme="minorHAnsi"/>
          <w:sz w:val="20"/>
          <w:szCs w:val="20"/>
        </w:rPr>
        <w:fldChar w:fldCharType="separate"/>
      </w:r>
      <w:r w:rsidRPr="00DA36C4">
        <w:rPr>
          <w:rFonts w:cstheme="minorHAnsi"/>
          <w:sz w:val="20"/>
          <w:szCs w:val="20"/>
        </w:rPr>
        <w:t xml:space="preserve">William Sir Wade and CF Forsyth, </w:t>
      </w:r>
      <w:r w:rsidRPr="00DA36C4">
        <w:rPr>
          <w:rFonts w:cstheme="minorHAnsi"/>
          <w:i/>
          <w:iCs/>
          <w:sz w:val="20"/>
          <w:szCs w:val="20"/>
        </w:rPr>
        <w:t>Administrative Law / by William Wade, Christopher Forsyth</w:t>
      </w:r>
      <w:r w:rsidRPr="00DA36C4">
        <w:rPr>
          <w:rFonts w:cstheme="minorHAnsi"/>
          <w:sz w:val="20"/>
          <w:szCs w:val="20"/>
        </w:rPr>
        <w:t xml:space="preserve"> (9th </w:t>
      </w:r>
      <w:proofErr w:type="spellStart"/>
      <w:proofErr w:type="gramStart"/>
      <w:r w:rsidRPr="00DA36C4">
        <w:rPr>
          <w:rFonts w:cstheme="minorHAnsi"/>
          <w:sz w:val="20"/>
          <w:szCs w:val="20"/>
        </w:rPr>
        <w:t>ed</w:t>
      </w:r>
      <w:proofErr w:type="spellEnd"/>
      <w:proofErr w:type="gramEnd"/>
      <w:r w:rsidRPr="00DA36C4">
        <w:rPr>
          <w:rFonts w:cstheme="minorHAnsi"/>
          <w:sz w:val="20"/>
          <w:szCs w:val="20"/>
        </w:rPr>
        <w:t>, Oxford : Clarendon Press ; New York : Oxford University Press).</w:t>
      </w:r>
      <w:r w:rsidRPr="00DA36C4">
        <w:rPr>
          <w:rFonts w:cstheme="minorHAnsi"/>
          <w:sz w:val="20"/>
          <w:szCs w:val="20"/>
        </w:rPr>
        <w:fldChar w:fldCharType="end"/>
      </w:r>
    </w:p>
  </w:footnote>
  <w:footnote w:id="12">
    <w:p w:rsidR="007867B3" w:rsidRPr="00DA36C4" w:rsidRDefault="007867B3" w:rsidP="007867B3">
      <w:pPr>
        <w:pStyle w:val="a6"/>
        <w:rPr>
          <w:rFonts w:cstheme="minorHAnsi"/>
          <w:sz w:val="20"/>
          <w:szCs w:val="20"/>
        </w:rPr>
      </w:pPr>
      <w:r w:rsidRPr="00DA36C4">
        <w:rPr>
          <w:rStyle w:val="a7"/>
          <w:rFonts w:cstheme="minorHAnsi"/>
          <w:sz w:val="20"/>
          <w:szCs w:val="20"/>
        </w:rPr>
        <w:footnoteRef/>
      </w:r>
      <w:r w:rsidRPr="00DA36C4">
        <w:rPr>
          <w:rFonts w:cstheme="minorHAnsi"/>
          <w:sz w:val="20"/>
          <w:szCs w:val="20"/>
        </w:rPr>
        <w:t xml:space="preserve"> </w:t>
      </w:r>
      <w:proofErr w:type="gramStart"/>
      <w:r w:rsidRPr="00DA36C4">
        <w:rPr>
          <w:rFonts w:cstheme="minorHAnsi"/>
          <w:i/>
          <w:sz w:val="20"/>
          <w:szCs w:val="20"/>
        </w:rPr>
        <w:t xml:space="preserve">R v Foreign Secretary ex parte World Development Movement </w:t>
      </w:r>
      <w:r w:rsidRPr="00DA36C4">
        <w:rPr>
          <w:rFonts w:cstheme="minorHAnsi"/>
          <w:sz w:val="20"/>
          <w:szCs w:val="20"/>
        </w:rPr>
        <w:t>[1995] 1 WLR 386 at [394].</w:t>
      </w:r>
      <w:proofErr w:type="gramEnd"/>
    </w:p>
  </w:footnote>
  <w:footnote w:id="13">
    <w:p w:rsidR="007867B3" w:rsidRPr="00DA36C4" w:rsidRDefault="007867B3" w:rsidP="007867B3">
      <w:pPr>
        <w:pStyle w:val="a6"/>
        <w:rPr>
          <w:sz w:val="20"/>
          <w:szCs w:val="20"/>
        </w:rPr>
      </w:pPr>
      <w:r w:rsidRPr="00DA36C4">
        <w:rPr>
          <w:rStyle w:val="a7"/>
          <w:sz w:val="20"/>
          <w:szCs w:val="20"/>
        </w:rPr>
        <w:footnoteRef/>
      </w:r>
      <w:r w:rsidRPr="00DA36C4">
        <w:rPr>
          <w:sz w:val="20"/>
          <w:szCs w:val="20"/>
        </w:rPr>
        <w:t xml:space="preserve"> </w:t>
      </w:r>
      <w:r w:rsidRPr="00DA36C4">
        <w:rPr>
          <w:i/>
          <w:sz w:val="20"/>
          <w:szCs w:val="20"/>
        </w:rPr>
        <w:t>Walton v Scottish Ministers</w:t>
      </w:r>
      <w:r w:rsidRPr="00DA36C4">
        <w:rPr>
          <w:sz w:val="20"/>
          <w:szCs w:val="20"/>
        </w:rPr>
        <w:t xml:space="preserve"> [2012] UKSC 44.</w:t>
      </w:r>
    </w:p>
  </w:footnote>
  <w:footnote w:id="14">
    <w:p w:rsidR="007867B3" w:rsidRPr="00DA36C4" w:rsidRDefault="007867B3" w:rsidP="007867B3">
      <w:pPr>
        <w:pStyle w:val="a6"/>
        <w:rPr>
          <w:sz w:val="20"/>
          <w:szCs w:val="20"/>
        </w:rPr>
      </w:pPr>
      <w:r w:rsidRPr="00DA36C4">
        <w:rPr>
          <w:rStyle w:val="a7"/>
          <w:sz w:val="20"/>
          <w:szCs w:val="20"/>
        </w:rPr>
        <w:footnoteRef/>
      </w:r>
      <w:r w:rsidRPr="00DA36C4">
        <w:rPr>
          <w:sz w:val="20"/>
          <w:szCs w:val="20"/>
        </w:rPr>
        <w:t xml:space="preserve"> </w:t>
      </w:r>
      <w:proofErr w:type="gramStart"/>
      <w:r w:rsidRPr="00DA36C4">
        <w:rPr>
          <w:i/>
          <w:sz w:val="20"/>
          <w:szCs w:val="20"/>
        </w:rPr>
        <w:t>Id</w:t>
      </w:r>
      <w:r w:rsidRPr="00DA36C4">
        <w:rPr>
          <w:sz w:val="20"/>
          <w:szCs w:val="20"/>
        </w:rPr>
        <w:t>, [152].</w:t>
      </w:r>
      <w:proofErr w:type="gramEnd"/>
      <w:r w:rsidRPr="00DA36C4">
        <w:rPr>
          <w:sz w:val="20"/>
          <w:szCs w:val="20"/>
        </w:rPr>
        <w:t xml:space="preserve"> </w:t>
      </w:r>
    </w:p>
  </w:footnote>
  <w:footnote w:id="15">
    <w:p w:rsidR="007867B3" w:rsidRPr="00DA36C4" w:rsidRDefault="007867B3" w:rsidP="007867B3">
      <w:pPr>
        <w:pStyle w:val="a6"/>
        <w:rPr>
          <w:rFonts w:cstheme="minorHAnsi"/>
          <w:sz w:val="20"/>
          <w:szCs w:val="20"/>
        </w:rPr>
      </w:pPr>
      <w:r w:rsidRPr="00DA36C4">
        <w:rPr>
          <w:rStyle w:val="a7"/>
          <w:rFonts w:cstheme="minorHAnsi"/>
          <w:sz w:val="20"/>
          <w:szCs w:val="20"/>
        </w:rPr>
        <w:footnoteRef/>
      </w:r>
      <w:r w:rsidRPr="00DA36C4">
        <w:rPr>
          <w:rFonts w:cstheme="minorHAnsi"/>
          <w:sz w:val="20"/>
          <w:szCs w:val="20"/>
        </w:rPr>
        <w:t xml:space="preserve"> </w:t>
      </w:r>
      <w:proofErr w:type="gramStart"/>
      <w:r w:rsidRPr="00DA36C4">
        <w:rPr>
          <w:rFonts w:cstheme="minorHAnsi"/>
          <w:i/>
          <w:sz w:val="20"/>
          <w:szCs w:val="20"/>
        </w:rPr>
        <w:t xml:space="preserve">R v Employment Secretary, ex parte Equal Opportunities Commission </w:t>
      </w:r>
      <w:r w:rsidRPr="00DA36C4">
        <w:rPr>
          <w:rFonts w:cstheme="minorHAnsi"/>
          <w:sz w:val="20"/>
          <w:szCs w:val="20"/>
        </w:rPr>
        <w:t>[1995] 1 AC 1.</w:t>
      </w:r>
      <w:proofErr w:type="gramEnd"/>
    </w:p>
  </w:footnote>
  <w:footnote w:id="16">
    <w:p w:rsidR="007867B3" w:rsidRPr="00DA36C4" w:rsidRDefault="007867B3" w:rsidP="007867B3">
      <w:pPr>
        <w:pStyle w:val="a6"/>
        <w:rPr>
          <w:rFonts w:cstheme="minorHAnsi"/>
          <w:sz w:val="20"/>
          <w:szCs w:val="20"/>
        </w:rPr>
      </w:pPr>
      <w:r w:rsidRPr="00DA36C4">
        <w:rPr>
          <w:rStyle w:val="a7"/>
          <w:rFonts w:cstheme="minorHAnsi"/>
          <w:sz w:val="20"/>
          <w:szCs w:val="20"/>
        </w:rPr>
        <w:footnoteRef/>
      </w:r>
      <w:r w:rsidRPr="00DA36C4">
        <w:rPr>
          <w:rFonts w:cstheme="minorHAnsi"/>
          <w:sz w:val="20"/>
          <w:szCs w:val="20"/>
        </w:rPr>
        <w:t xml:space="preserve"> </w:t>
      </w:r>
      <w:r w:rsidRPr="00DA36C4">
        <w:rPr>
          <w:rFonts w:cstheme="minorHAnsi"/>
          <w:i/>
          <w:sz w:val="20"/>
          <w:szCs w:val="20"/>
        </w:rPr>
        <w:t>R v Foreign Secretary, ex parte Rees-</w:t>
      </w:r>
      <w:proofErr w:type="spellStart"/>
      <w:r w:rsidRPr="00DA36C4">
        <w:rPr>
          <w:rFonts w:cstheme="minorHAnsi"/>
          <w:i/>
          <w:sz w:val="20"/>
          <w:szCs w:val="20"/>
        </w:rPr>
        <w:t>Mogg</w:t>
      </w:r>
      <w:proofErr w:type="spellEnd"/>
      <w:r w:rsidRPr="00DA36C4">
        <w:rPr>
          <w:rFonts w:cstheme="minorHAnsi"/>
          <w:i/>
          <w:sz w:val="20"/>
          <w:szCs w:val="20"/>
        </w:rPr>
        <w:t xml:space="preserve"> </w:t>
      </w:r>
      <w:r w:rsidRPr="00DA36C4">
        <w:rPr>
          <w:rFonts w:cstheme="minorHAnsi"/>
          <w:sz w:val="20"/>
          <w:szCs w:val="20"/>
        </w:rPr>
        <w:t>[1994] QB 552.</w:t>
      </w:r>
    </w:p>
  </w:footnote>
  <w:footnote w:id="17">
    <w:p w:rsidR="007867B3" w:rsidRPr="00DA36C4" w:rsidRDefault="007867B3" w:rsidP="007867B3">
      <w:pPr>
        <w:pStyle w:val="a6"/>
        <w:rPr>
          <w:sz w:val="20"/>
          <w:szCs w:val="20"/>
        </w:rPr>
      </w:pPr>
      <w:r w:rsidRPr="00DA36C4">
        <w:rPr>
          <w:rStyle w:val="a7"/>
          <w:sz w:val="20"/>
          <w:szCs w:val="20"/>
        </w:rPr>
        <w:footnoteRef/>
      </w:r>
      <w:r w:rsidRPr="00DA36C4">
        <w:rPr>
          <w:sz w:val="20"/>
          <w:szCs w:val="20"/>
        </w:rPr>
        <w:t xml:space="preserve"> </w:t>
      </w:r>
      <w:r w:rsidRPr="00DA36C4">
        <w:rPr>
          <w:i/>
          <w:sz w:val="20"/>
          <w:szCs w:val="20"/>
        </w:rPr>
        <w:t>Walton v Scottish Ministers</w:t>
      </w:r>
      <w:r w:rsidRPr="00DA36C4">
        <w:rPr>
          <w:sz w:val="20"/>
          <w:szCs w:val="20"/>
        </w:rPr>
        <w:t xml:space="preserve"> [2012] UKSC 44, [154].</w:t>
      </w:r>
    </w:p>
  </w:footnote>
  <w:footnote w:id="18">
    <w:p w:rsidR="007867B3" w:rsidRPr="00DA36C4" w:rsidRDefault="007867B3" w:rsidP="007867B3">
      <w:pPr>
        <w:pStyle w:val="a6"/>
        <w:rPr>
          <w:rFonts w:cstheme="minorHAnsi"/>
          <w:sz w:val="20"/>
          <w:szCs w:val="20"/>
        </w:rPr>
      </w:pPr>
      <w:r w:rsidRPr="00DA36C4">
        <w:rPr>
          <w:rStyle w:val="a7"/>
          <w:rFonts w:cstheme="minorHAnsi"/>
          <w:sz w:val="20"/>
          <w:szCs w:val="20"/>
        </w:rPr>
        <w:footnoteRef/>
      </w:r>
      <w:r w:rsidRPr="00DA36C4">
        <w:rPr>
          <w:rFonts w:cstheme="minorHAnsi"/>
          <w:sz w:val="20"/>
          <w:szCs w:val="20"/>
        </w:rPr>
        <w:t xml:space="preserve"> </w:t>
      </w:r>
      <w:proofErr w:type="gramStart"/>
      <w:r w:rsidRPr="00DA36C4">
        <w:rPr>
          <w:rFonts w:cstheme="minorHAnsi"/>
          <w:i/>
          <w:sz w:val="20"/>
          <w:szCs w:val="20"/>
        </w:rPr>
        <w:t xml:space="preserve">R v Secretary of State for Social Services, ex parte Child Poverty Action Group </w:t>
      </w:r>
      <w:r w:rsidRPr="00DA36C4">
        <w:rPr>
          <w:rFonts w:cstheme="minorHAnsi"/>
          <w:sz w:val="20"/>
          <w:szCs w:val="20"/>
        </w:rPr>
        <w:t>[1990] 2 Q.B. 540.</w:t>
      </w:r>
      <w:proofErr w:type="gramEnd"/>
    </w:p>
  </w:footnote>
  <w:footnote w:id="19">
    <w:p w:rsidR="007867B3" w:rsidRPr="00DA36C4" w:rsidRDefault="007867B3" w:rsidP="007867B3">
      <w:pPr>
        <w:pStyle w:val="a6"/>
        <w:rPr>
          <w:rFonts w:cstheme="minorHAnsi"/>
          <w:sz w:val="20"/>
          <w:szCs w:val="20"/>
        </w:rPr>
      </w:pPr>
      <w:r w:rsidRPr="00DA36C4">
        <w:rPr>
          <w:rStyle w:val="a7"/>
          <w:rFonts w:cstheme="minorHAnsi"/>
          <w:sz w:val="20"/>
          <w:szCs w:val="20"/>
        </w:rPr>
        <w:footnoteRef/>
      </w:r>
      <w:r w:rsidRPr="00DA36C4">
        <w:rPr>
          <w:rFonts w:cstheme="minorHAnsi"/>
          <w:sz w:val="20"/>
          <w:szCs w:val="20"/>
        </w:rPr>
        <w:t xml:space="preserve"> </w:t>
      </w:r>
      <w:proofErr w:type="gramStart"/>
      <w:r w:rsidRPr="00DA36C4">
        <w:rPr>
          <w:rFonts w:cstheme="minorHAnsi"/>
          <w:i/>
          <w:iCs/>
          <w:color w:val="000000"/>
          <w:sz w:val="20"/>
          <w:szCs w:val="20"/>
        </w:rPr>
        <w:t xml:space="preserve">R </w:t>
      </w:r>
      <w:r w:rsidRPr="00DA36C4">
        <w:rPr>
          <w:rFonts w:cstheme="minorHAnsi"/>
          <w:color w:val="000000"/>
          <w:sz w:val="20"/>
          <w:szCs w:val="20"/>
        </w:rPr>
        <w:t xml:space="preserve">v </w:t>
      </w:r>
      <w:r w:rsidRPr="00DA36C4">
        <w:rPr>
          <w:rFonts w:cstheme="minorHAnsi"/>
          <w:i/>
          <w:iCs/>
          <w:color w:val="000000"/>
          <w:sz w:val="20"/>
          <w:szCs w:val="20"/>
        </w:rPr>
        <w:t xml:space="preserve">Inspectorate of Pollution, ex parte Greenpeace (No.2) </w:t>
      </w:r>
      <w:r w:rsidRPr="00DA36C4">
        <w:rPr>
          <w:rFonts w:cstheme="minorHAnsi"/>
          <w:color w:val="000000"/>
          <w:sz w:val="20"/>
          <w:szCs w:val="20"/>
        </w:rPr>
        <w:t>[1994] 4 All ER 329.</w:t>
      </w:r>
      <w:proofErr w:type="gramEnd"/>
    </w:p>
  </w:footnote>
  <w:footnote w:id="20">
    <w:p w:rsidR="007867B3" w:rsidRPr="00DA36C4" w:rsidRDefault="007867B3" w:rsidP="007867B3">
      <w:pPr>
        <w:pStyle w:val="a6"/>
        <w:rPr>
          <w:sz w:val="20"/>
          <w:szCs w:val="20"/>
        </w:rPr>
      </w:pPr>
      <w:r w:rsidRPr="00DA36C4">
        <w:rPr>
          <w:rStyle w:val="a7"/>
          <w:sz w:val="20"/>
          <w:szCs w:val="20"/>
        </w:rPr>
        <w:footnoteRef/>
      </w:r>
      <w:r w:rsidRPr="00DA36C4">
        <w:rPr>
          <w:sz w:val="20"/>
          <w:szCs w:val="20"/>
        </w:rPr>
        <w:t xml:space="preserve"> </w:t>
      </w:r>
      <w:r w:rsidRPr="00DA36C4">
        <w:rPr>
          <w:i/>
          <w:sz w:val="20"/>
          <w:szCs w:val="20"/>
        </w:rPr>
        <w:t>Walton v Scottish Ministers</w:t>
      </w:r>
      <w:r w:rsidRPr="00DA36C4">
        <w:rPr>
          <w:sz w:val="20"/>
          <w:szCs w:val="20"/>
        </w:rPr>
        <w:t xml:space="preserve"> [2012] UKSC 44, [147].</w:t>
      </w:r>
    </w:p>
  </w:footnote>
  <w:footnote w:id="21">
    <w:p w:rsidR="007867B3" w:rsidRPr="00DA36C4" w:rsidRDefault="007867B3" w:rsidP="007867B3">
      <w:pPr>
        <w:pStyle w:val="a6"/>
        <w:rPr>
          <w:rFonts w:cstheme="minorHAnsi"/>
          <w:sz w:val="20"/>
          <w:szCs w:val="20"/>
        </w:rPr>
      </w:pPr>
      <w:r w:rsidRPr="00DA36C4">
        <w:rPr>
          <w:rStyle w:val="a7"/>
          <w:rFonts w:cstheme="minorHAnsi"/>
          <w:sz w:val="20"/>
          <w:szCs w:val="20"/>
        </w:rPr>
        <w:footnoteRef/>
      </w:r>
      <w:r w:rsidRPr="00DA36C4">
        <w:rPr>
          <w:rFonts w:cstheme="minorHAnsi"/>
          <w:sz w:val="20"/>
          <w:szCs w:val="20"/>
        </w:rPr>
        <w:t xml:space="preserve"> </w:t>
      </w:r>
      <w:r w:rsidRPr="00DA36C4">
        <w:rPr>
          <w:rFonts w:cstheme="minorHAnsi"/>
          <w:i/>
          <w:sz w:val="20"/>
          <w:szCs w:val="20"/>
        </w:rPr>
        <w:t>R v Brown</w:t>
      </w:r>
      <w:r w:rsidRPr="00DA36C4">
        <w:rPr>
          <w:rFonts w:cstheme="minorHAnsi"/>
          <w:sz w:val="20"/>
          <w:szCs w:val="20"/>
        </w:rPr>
        <w:t xml:space="preserve"> [1991] 3 TR 574, per </w:t>
      </w:r>
      <w:proofErr w:type="spellStart"/>
      <w:r w:rsidRPr="00DA36C4">
        <w:rPr>
          <w:rFonts w:cstheme="minorHAnsi"/>
          <w:sz w:val="20"/>
          <w:szCs w:val="20"/>
        </w:rPr>
        <w:t>Ashurst</w:t>
      </w:r>
      <w:proofErr w:type="spellEnd"/>
      <w:r w:rsidRPr="00DA36C4">
        <w:rPr>
          <w:rFonts w:cstheme="minorHAnsi"/>
          <w:sz w:val="20"/>
          <w:szCs w:val="20"/>
        </w:rPr>
        <w:t xml:space="preserve"> J cited in </w:t>
      </w:r>
      <w:proofErr w:type="spellStart"/>
      <w:r w:rsidRPr="00DA36C4">
        <w:rPr>
          <w:rFonts w:cstheme="minorHAnsi"/>
          <w:i/>
          <w:sz w:val="20"/>
          <w:szCs w:val="20"/>
        </w:rPr>
        <w:t>Feakins</w:t>
      </w:r>
      <w:proofErr w:type="spellEnd"/>
      <w:r w:rsidRPr="00DA36C4">
        <w:rPr>
          <w:rFonts w:cstheme="minorHAnsi"/>
          <w:sz w:val="20"/>
          <w:szCs w:val="20"/>
        </w:rPr>
        <w:t>.</w:t>
      </w:r>
    </w:p>
  </w:footnote>
  <w:footnote w:id="22">
    <w:p w:rsidR="007867B3" w:rsidRPr="00DA36C4" w:rsidRDefault="007867B3" w:rsidP="007867B3">
      <w:pPr>
        <w:pStyle w:val="a6"/>
        <w:rPr>
          <w:rFonts w:cstheme="minorHAnsi"/>
          <w:sz w:val="20"/>
          <w:szCs w:val="20"/>
        </w:rPr>
      </w:pPr>
      <w:r w:rsidRPr="00DA36C4">
        <w:rPr>
          <w:rStyle w:val="a7"/>
          <w:rFonts w:cstheme="minorHAnsi"/>
          <w:sz w:val="20"/>
          <w:szCs w:val="20"/>
        </w:rPr>
        <w:footnoteRef/>
      </w:r>
      <w:proofErr w:type="gramStart"/>
      <w:r w:rsidRPr="00DA36C4">
        <w:rPr>
          <w:rFonts w:cstheme="minorHAnsi"/>
          <w:i/>
          <w:color w:val="000000"/>
          <w:sz w:val="20"/>
          <w:szCs w:val="20"/>
          <w:u w:color="000000"/>
        </w:rPr>
        <w:t>R (</w:t>
      </w:r>
      <w:proofErr w:type="spellStart"/>
      <w:r w:rsidRPr="00DA36C4">
        <w:rPr>
          <w:rFonts w:cstheme="minorHAnsi"/>
          <w:i/>
          <w:color w:val="000000"/>
          <w:sz w:val="20"/>
          <w:szCs w:val="20"/>
          <w:u w:color="000000"/>
        </w:rPr>
        <w:t>Feakins</w:t>
      </w:r>
      <w:proofErr w:type="spellEnd"/>
      <w:r w:rsidRPr="00DA36C4">
        <w:rPr>
          <w:rFonts w:cstheme="minorHAnsi"/>
          <w:i/>
          <w:color w:val="000000"/>
          <w:sz w:val="20"/>
          <w:szCs w:val="20"/>
          <w:u w:color="000000"/>
        </w:rPr>
        <w:t>) v Secretary of State for the Environment</w:t>
      </w:r>
      <w:r w:rsidRPr="00DA36C4">
        <w:rPr>
          <w:rFonts w:cstheme="minorHAnsi"/>
          <w:color w:val="000000"/>
          <w:sz w:val="20"/>
          <w:szCs w:val="20"/>
          <w:u w:color="000000"/>
        </w:rPr>
        <w:t xml:space="preserve"> [2004] 1 W.L.R. 1761</w:t>
      </w:r>
      <w:r>
        <w:rPr>
          <w:rFonts w:cstheme="minorHAnsi"/>
          <w:color w:val="000000"/>
          <w:sz w:val="20"/>
          <w:szCs w:val="20"/>
          <w:u w:color="000000"/>
        </w:rPr>
        <w:t>.</w:t>
      </w:r>
      <w:proofErr w:type="gramEnd"/>
    </w:p>
  </w:footnote>
  <w:footnote w:id="23">
    <w:p w:rsidR="007867B3" w:rsidRPr="00DA36C4" w:rsidRDefault="007867B3" w:rsidP="007867B3">
      <w:pPr>
        <w:pStyle w:val="a6"/>
        <w:rPr>
          <w:rFonts w:cstheme="minorHAnsi"/>
          <w:sz w:val="20"/>
          <w:szCs w:val="20"/>
        </w:rPr>
      </w:pPr>
      <w:r w:rsidRPr="00DA36C4">
        <w:rPr>
          <w:rStyle w:val="a7"/>
          <w:rFonts w:cstheme="minorHAnsi"/>
          <w:sz w:val="20"/>
          <w:szCs w:val="20"/>
        </w:rPr>
        <w:footnoteRef/>
      </w:r>
      <w:r w:rsidRPr="00DA36C4">
        <w:rPr>
          <w:rFonts w:cstheme="minorHAnsi"/>
          <w:sz w:val="20"/>
          <w:szCs w:val="20"/>
        </w:rPr>
        <w:t xml:space="preserve"> </w:t>
      </w:r>
      <w:proofErr w:type="gramStart"/>
      <w:r w:rsidRPr="00DA36C4">
        <w:rPr>
          <w:rFonts w:cstheme="minorHAnsi"/>
          <w:i/>
          <w:sz w:val="20"/>
          <w:szCs w:val="20"/>
        </w:rPr>
        <w:t xml:space="preserve">R (Mount Cook Land Ltd) v Westminster City Council [2003] EWCA </w:t>
      </w:r>
      <w:proofErr w:type="spellStart"/>
      <w:r w:rsidRPr="00DA36C4">
        <w:rPr>
          <w:rFonts w:cstheme="minorHAnsi"/>
          <w:i/>
          <w:sz w:val="20"/>
          <w:szCs w:val="20"/>
        </w:rPr>
        <w:t>Civ</w:t>
      </w:r>
      <w:proofErr w:type="spellEnd"/>
      <w:r w:rsidRPr="00DA36C4">
        <w:rPr>
          <w:rFonts w:cstheme="minorHAnsi"/>
          <w:i/>
          <w:sz w:val="20"/>
          <w:szCs w:val="20"/>
        </w:rPr>
        <w:t xml:space="preserve"> 1346.</w:t>
      </w:r>
      <w:proofErr w:type="gramEnd"/>
    </w:p>
  </w:footnote>
  <w:footnote w:id="24">
    <w:p w:rsidR="007867B3" w:rsidRPr="00DA36C4" w:rsidRDefault="007867B3" w:rsidP="007867B3">
      <w:pPr>
        <w:pStyle w:val="a6"/>
        <w:rPr>
          <w:rFonts w:cstheme="minorHAnsi"/>
          <w:sz w:val="20"/>
          <w:szCs w:val="20"/>
        </w:rPr>
      </w:pPr>
      <w:r w:rsidRPr="00DA36C4">
        <w:rPr>
          <w:rStyle w:val="a7"/>
          <w:rFonts w:cstheme="minorHAnsi"/>
          <w:sz w:val="20"/>
          <w:szCs w:val="20"/>
        </w:rPr>
        <w:footnoteRef/>
      </w:r>
      <w:r w:rsidRPr="00DA36C4">
        <w:rPr>
          <w:rFonts w:cstheme="minorHAnsi"/>
          <w:sz w:val="20"/>
          <w:szCs w:val="20"/>
        </w:rPr>
        <w:t xml:space="preserve"> </w:t>
      </w:r>
      <w:r w:rsidRPr="00DA36C4">
        <w:rPr>
          <w:rFonts w:cstheme="minorHAnsi"/>
          <w:i/>
          <w:sz w:val="20"/>
          <w:szCs w:val="20"/>
        </w:rPr>
        <w:t>Your Right to Know</w:t>
      </w:r>
      <w:r w:rsidRPr="00DA36C4">
        <w:rPr>
          <w:rFonts w:cstheme="minorHAnsi"/>
          <w:sz w:val="20"/>
          <w:szCs w:val="20"/>
        </w:rPr>
        <w:t xml:space="preserve">, </w:t>
      </w:r>
      <w:r w:rsidRPr="00DA36C4">
        <w:rPr>
          <w:rFonts w:cstheme="minorHAnsi"/>
          <w:color w:val="343434"/>
          <w:sz w:val="20"/>
          <w:szCs w:val="20"/>
        </w:rPr>
        <w:t xml:space="preserve">HM Government's Proposals for a </w:t>
      </w:r>
      <w:r w:rsidRPr="00DA36C4">
        <w:rPr>
          <w:rFonts w:cstheme="minorHAnsi"/>
          <w:bCs/>
          <w:color w:val="343434"/>
          <w:sz w:val="20"/>
          <w:szCs w:val="20"/>
        </w:rPr>
        <w:t>Freedom of Information</w:t>
      </w:r>
      <w:r w:rsidRPr="00DA36C4">
        <w:rPr>
          <w:rFonts w:cstheme="minorHAnsi"/>
          <w:color w:val="343434"/>
          <w:sz w:val="20"/>
          <w:szCs w:val="20"/>
        </w:rPr>
        <w:t xml:space="preserve"> Act (Cm 3818); published in December 1997.</w:t>
      </w:r>
    </w:p>
  </w:footnote>
  <w:footnote w:id="25">
    <w:p w:rsidR="007867B3" w:rsidRPr="00DA36C4" w:rsidRDefault="007867B3" w:rsidP="007867B3">
      <w:pPr>
        <w:pStyle w:val="a8"/>
        <w:rPr>
          <w:szCs w:val="20"/>
        </w:rPr>
      </w:pPr>
      <w:r w:rsidRPr="00DA36C4">
        <w:rPr>
          <w:rStyle w:val="a7"/>
          <w:szCs w:val="20"/>
        </w:rPr>
        <w:footnoteRef/>
      </w:r>
      <w:r w:rsidRPr="00DA36C4">
        <w:rPr>
          <w:szCs w:val="20"/>
        </w:rPr>
        <w:t xml:space="preserve"> </w:t>
      </w:r>
      <w:proofErr w:type="gramStart"/>
      <w:r w:rsidRPr="00DA36C4">
        <w:rPr>
          <w:szCs w:val="20"/>
        </w:rPr>
        <w:t xml:space="preserve">Paul Craig, </w:t>
      </w:r>
      <w:r w:rsidRPr="00DA36C4">
        <w:rPr>
          <w:i/>
          <w:szCs w:val="20"/>
        </w:rPr>
        <w:t>Administrative Law</w:t>
      </w:r>
      <w:r w:rsidRPr="00DA36C4">
        <w:rPr>
          <w:szCs w:val="20"/>
        </w:rPr>
        <w:t xml:space="preserve"> (7th </w:t>
      </w:r>
      <w:proofErr w:type="spellStart"/>
      <w:r w:rsidRPr="00DA36C4">
        <w:rPr>
          <w:szCs w:val="20"/>
        </w:rPr>
        <w:t>edn</w:t>
      </w:r>
      <w:proofErr w:type="spellEnd"/>
      <w:r w:rsidRPr="00DA36C4">
        <w:rPr>
          <w:szCs w:val="20"/>
        </w:rPr>
        <w:t>, Sweet &amp; Maxwell 2012) [8-002].</w:t>
      </w:r>
      <w:proofErr w:type="gramEnd"/>
    </w:p>
  </w:footnote>
  <w:footnote w:id="26">
    <w:p w:rsidR="007867B3" w:rsidRPr="00DA36C4" w:rsidRDefault="007867B3" w:rsidP="007867B3">
      <w:pPr>
        <w:pStyle w:val="a8"/>
        <w:rPr>
          <w:szCs w:val="20"/>
        </w:rPr>
      </w:pPr>
      <w:r w:rsidRPr="00DA36C4">
        <w:rPr>
          <w:rStyle w:val="a7"/>
          <w:szCs w:val="20"/>
        </w:rPr>
        <w:footnoteRef/>
      </w:r>
      <w:r w:rsidRPr="00DA36C4">
        <w:rPr>
          <w:szCs w:val="20"/>
        </w:rPr>
        <w:t xml:space="preserve"> Jeffery </w:t>
      </w:r>
      <w:proofErr w:type="spellStart"/>
      <w:r w:rsidRPr="00DA36C4">
        <w:rPr>
          <w:szCs w:val="20"/>
        </w:rPr>
        <w:t>Jowell</w:t>
      </w:r>
      <w:proofErr w:type="spellEnd"/>
      <w:r w:rsidRPr="00DA36C4">
        <w:rPr>
          <w:szCs w:val="20"/>
        </w:rPr>
        <w:t xml:space="preserve"> and Dawn Oliver, </w:t>
      </w:r>
      <w:proofErr w:type="gramStart"/>
      <w:r w:rsidRPr="00DA36C4">
        <w:rPr>
          <w:i/>
          <w:szCs w:val="20"/>
        </w:rPr>
        <w:t>The</w:t>
      </w:r>
      <w:proofErr w:type="gramEnd"/>
      <w:r w:rsidRPr="00DA36C4">
        <w:rPr>
          <w:i/>
          <w:szCs w:val="20"/>
        </w:rPr>
        <w:t xml:space="preserve"> Changing Constitution </w:t>
      </w:r>
      <w:r w:rsidRPr="00DA36C4">
        <w:rPr>
          <w:szCs w:val="20"/>
        </w:rPr>
        <w:t>(OUP 2011).</w:t>
      </w:r>
    </w:p>
  </w:footnote>
  <w:footnote w:id="27">
    <w:p w:rsidR="007867B3" w:rsidRPr="00DA36C4" w:rsidRDefault="007867B3" w:rsidP="007867B3">
      <w:pPr>
        <w:pStyle w:val="a8"/>
        <w:rPr>
          <w:szCs w:val="20"/>
        </w:rPr>
      </w:pPr>
      <w:r w:rsidRPr="00DA36C4">
        <w:rPr>
          <w:rStyle w:val="a7"/>
          <w:szCs w:val="20"/>
        </w:rPr>
        <w:footnoteRef/>
      </w:r>
      <w:r w:rsidRPr="00DA36C4">
        <w:rPr>
          <w:szCs w:val="20"/>
        </w:rPr>
        <w:t xml:space="preserve"> Jeffery </w:t>
      </w:r>
      <w:proofErr w:type="spellStart"/>
      <w:r w:rsidRPr="00DA36C4">
        <w:rPr>
          <w:szCs w:val="20"/>
        </w:rPr>
        <w:t>Jowell</w:t>
      </w:r>
      <w:proofErr w:type="spellEnd"/>
      <w:r w:rsidRPr="00DA36C4">
        <w:rPr>
          <w:szCs w:val="20"/>
        </w:rPr>
        <w:t xml:space="preserve"> and Dawn Oliver, </w:t>
      </w:r>
      <w:proofErr w:type="gramStart"/>
      <w:r w:rsidRPr="00DA36C4">
        <w:rPr>
          <w:i/>
          <w:szCs w:val="20"/>
        </w:rPr>
        <w:t>The</w:t>
      </w:r>
      <w:proofErr w:type="gramEnd"/>
      <w:r w:rsidRPr="00DA36C4">
        <w:rPr>
          <w:i/>
          <w:szCs w:val="20"/>
        </w:rPr>
        <w:t xml:space="preserve"> Changing Constitution </w:t>
      </w:r>
      <w:r w:rsidRPr="00DA36C4">
        <w:rPr>
          <w:szCs w:val="20"/>
        </w:rPr>
        <w:t>(OUP 2011).</w:t>
      </w:r>
    </w:p>
  </w:footnote>
  <w:footnote w:id="28">
    <w:p w:rsidR="007867B3" w:rsidRPr="00DA36C4" w:rsidRDefault="007867B3" w:rsidP="007867B3">
      <w:pPr>
        <w:pStyle w:val="a6"/>
        <w:rPr>
          <w:sz w:val="20"/>
          <w:szCs w:val="20"/>
        </w:rPr>
      </w:pPr>
      <w:r w:rsidRPr="00DA36C4">
        <w:rPr>
          <w:rStyle w:val="a7"/>
          <w:sz w:val="20"/>
          <w:szCs w:val="20"/>
        </w:rPr>
        <w:footnoteRef/>
      </w:r>
      <w:r w:rsidRPr="00DA36C4">
        <w:rPr>
          <w:sz w:val="20"/>
          <w:szCs w:val="20"/>
        </w:rPr>
        <w:t xml:space="preserve"> </w:t>
      </w:r>
      <w:proofErr w:type="gramStart"/>
      <w:r w:rsidRPr="00DA36C4">
        <w:rPr>
          <w:i/>
          <w:sz w:val="20"/>
          <w:szCs w:val="20"/>
        </w:rPr>
        <w:t>John Connor Press Associates Limited v Information Commissioner</w:t>
      </w:r>
      <w:r w:rsidRPr="00DA36C4">
        <w:rPr>
          <w:sz w:val="20"/>
          <w:szCs w:val="20"/>
        </w:rPr>
        <w:t xml:space="preserve"> (EA/2005/0005, 25 January 2006).</w:t>
      </w:r>
      <w:proofErr w:type="gramEnd"/>
    </w:p>
  </w:footnote>
  <w:footnote w:id="29">
    <w:p w:rsidR="007867B3" w:rsidRPr="00DA36C4" w:rsidRDefault="007867B3" w:rsidP="007867B3">
      <w:pPr>
        <w:pStyle w:val="a6"/>
        <w:rPr>
          <w:sz w:val="20"/>
          <w:szCs w:val="20"/>
        </w:rPr>
      </w:pPr>
      <w:r w:rsidRPr="00DA36C4">
        <w:rPr>
          <w:rStyle w:val="a7"/>
          <w:sz w:val="20"/>
          <w:szCs w:val="20"/>
        </w:rPr>
        <w:footnoteRef/>
      </w:r>
      <w:r w:rsidRPr="00DA36C4">
        <w:rPr>
          <w:sz w:val="20"/>
          <w:szCs w:val="20"/>
        </w:rPr>
        <w:t xml:space="preserve"> </w:t>
      </w:r>
      <w:proofErr w:type="gramStart"/>
      <w:r w:rsidRPr="00DA36C4">
        <w:rPr>
          <w:i/>
          <w:sz w:val="20"/>
          <w:szCs w:val="20"/>
        </w:rPr>
        <w:t>Derry City Council v Information Commissioner</w:t>
      </w:r>
      <w:r w:rsidRPr="00DA36C4">
        <w:rPr>
          <w:sz w:val="20"/>
          <w:szCs w:val="20"/>
        </w:rPr>
        <w:t xml:space="preserve"> (EA/2006/0014, 11 December 2006).</w:t>
      </w:r>
      <w:proofErr w:type="gramEnd"/>
    </w:p>
  </w:footnote>
  <w:footnote w:id="30">
    <w:p w:rsidR="00FC550C" w:rsidRPr="00621B9E" w:rsidRDefault="00FC550C" w:rsidP="00FC550C">
      <w:pPr>
        <w:pStyle w:val="a8"/>
        <w:rPr>
          <w:szCs w:val="20"/>
        </w:rPr>
      </w:pPr>
      <w:r w:rsidRPr="00621B9E">
        <w:rPr>
          <w:rStyle w:val="a7"/>
          <w:szCs w:val="20"/>
        </w:rPr>
        <w:footnoteRef/>
      </w:r>
      <w:r w:rsidRPr="00621B9E">
        <w:rPr>
          <w:szCs w:val="20"/>
        </w:rPr>
        <w:t xml:space="preserve"> </w:t>
      </w:r>
      <w:r w:rsidRPr="00621B9E">
        <w:rPr>
          <w:i/>
          <w:szCs w:val="20"/>
        </w:rPr>
        <w:t>Attorney-General v De Keyser’s Royal Hotel Ltd</w:t>
      </w:r>
      <w:r w:rsidRPr="00621B9E">
        <w:rPr>
          <w:szCs w:val="20"/>
        </w:rPr>
        <w:t xml:space="preserve"> [1920] AC 508 </w:t>
      </w:r>
    </w:p>
  </w:footnote>
  <w:footnote w:id="31">
    <w:p w:rsidR="00FC550C" w:rsidRPr="00621B9E" w:rsidRDefault="00FC550C" w:rsidP="00FC550C">
      <w:pPr>
        <w:pStyle w:val="a8"/>
        <w:rPr>
          <w:szCs w:val="20"/>
        </w:rPr>
      </w:pPr>
      <w:r w:rsidRPr="00621B9E">
        <w:rPr>
          <w:rStyle w:val="a7"/>
          <w:szCs w:val="20"/>
        </w:rPr>
        <w:footnoteRef/>
      </w:r>
      <w:r w:rsidRPr="00621B9E">
        <w:rPr>
          <w:szCs w:val="20"/>
        </w:rPr>
        <w:t xml:space="preserve"> </w:t>
      </w:r>
      <w:r w:rsidRPr="00621B9E">
        <w:rPr>
          <w:i/>
          <w:szCs w:val="20"/>
        </w:rPr>
        <w:t xml:space="preserve">Jackson v Attorney General </w:t>
      </w:r>
      <w:r w:rsidRPr="00621B9E">
        <w:rPr>
          <w:szCs w:val="20"/>
        </w:rPr>
        <w:t xml:space="preserve">[2005] UKHL 56 (HL) [107] </w:t>
      </w:r>
    </w:p>
  </w:footnote>
  <w:footnote w:id="32">
    <w:p w:rsidR="00FC550C" w:rsidRPr="00621B9E" w:rsidRDefault="00FC550C" w:rsidP="00FC550C">
      <w:pPr>
        <w:pStyle w:val="a8"/>
        <w:rPr>
          <w:szCs w:val="20"/>
        </w:rPr>
      </w:pPr>
      <w:r w:rsidRPr="00621B9E">
        <w:rPr>
          <w:rStyle w:val="a7"/>
          <w:szCs w:val="20"/>
        </w:rPr>
        <w:footnoteRef/>
      </w:r>
      <w:r w:rsidRPr="00621B9E">
        <w:rPr>
          <w:szCs w:val="20"/>
        </w:rPr>
        <w:t xml:space="preserve"> </w:t>
      </w:r>
      <w:r w:rsidRPr="00621B9E">
        <w:rPr>
          <w:i/>
          <w:szCs w:val="20"/>
        </w:rPr>
        <w:t>R v Somerset County Council, ex parte Dixon</w:t>
      </w:r>
      <w:r w:rsidRPr="00621B9E">
        <w:rPr>
          <w:szCs w:val="20"/>
        </w:rPr>
        <w:t xml:space="preserve"> [1998] </w:t>
      </w:r>
      <w:proofErr w:type="spellStart"/>
      <w:r w:rsidRPr="00621B9E">
        <w:rPr>
          <w:szCs w:val="20"/>
        </w:rPr>
        <w:t>Env</w:t>
      </w:r>
      <w:proofErr w:type="spellEnd"/>
      <w:r w:rsidRPr="00621B9E">
        <w:rPr>
          <w:szCs w:val="20"/>
        </w:rPr>
        <w:t xml:space="preserve"> LR 111 (QB) </w:t>
      </w:r>
    </w:p>
  </w:footnote>
  <w:footnote w:id="33">
    <w:p w:rsidR="00FC550C" w:rsidRPr="00621B9E" w:rsidRDefault="00FC550C" w:rsidP="00FC550C">
      <w:pPr>
        <w:pStyle w:val="a8"/>
        <w:rPr>
          <w:szCs w:val="20"/>
        </w:rPr>
      </w:pPr>
      <w:r w:rsidRPr="00621B9E">
        <w:rPr>
          <w:rStyle w:val="a7"/>
          <w:szCs w:val="20"/>
        </w:rPr>
        <w:footnoteRef/>
      </w:r>
      <w:r w:rsidRPr="00621B9E">
        <w:rPr>
          <w:szCs w:val="20"/>
        </w:rPr>
        <w:t xml:space="preserve"> </w:t>
      </w:r>
      <w:proofErr w:type="spellStart"/>
      <w:r w:rsidRPr="00621B9E">
        <w:rPr>
          <w:i/>
          <w:szCs w:val="20"/>
        </w:rPr>
        <w:t>Gouriet</w:t>
      </w:r>
      <w:proofErr w:type="spellEnd"/>
      <w:r w:rsidRPr="00621B9E">
        <w:rPr>
          <w:i/>
          <w:szCs w:val="20"/>
        </w:rPr>
        <w:t xml:space="preserve"> v Union of Post Office Workers</w:t>
      </w:r>
      <w:r w:rsidRPr="00621B9E">
        <w:rPr>
          <w:szCs w:val="20"/>
        </w:rPr>
        <w:t xml:space="preserve"> [1978] AC 435 (HL) </w:t>
      </w:r>
    </w:p>
  </w:footnote>
  <w:footnote w:id="34">
    <w:p w:rsidR="00FC550C" w:rsidRPr="00621B9E" w:rsidRDefault="00FC550C" w:rsidP="00FC550C">
      <w:pPr>
        <w:pStyle w:val="a8"/>
        <w:rPr>
          <w:szCs w:val="20"/>
        </w:rPr>
      </w:pPr>
      <w:r w:rsidRPr="00621B9E">
        <w:rPr>
          <w:rStyle w:val="a7"/>
          <w:szCs w:val="20"/>
        </w:rPr>
        <w:footnoteRef/>
      </w:r>
      <w:r w:rsidRPr="00621B9E">
        <w:rPr>
          <w:szCs w:val="20"/>
        </w:rPr>
        <w:t xml:space="preserve"> </w:t>
      </w:r>
      <w:proofErr w:type="spellStart"/>
      <w:r w:rsidRPr="00621B9E">
        <w:rPr>
          <w:i/>
          <w:szCs w:val="20"/>
        </w:rPr>
        <w:t>Gouriet</w:t>
      </w:r>
      <w:proofErr w:type="spellEnd"/>
      <w:r w:rsidRPr="00621B9E">
        <w:rPr>
          <w:i/>
          <w:szCs w:val="20"/>
        </w:rPr>
        <w:t xml:space="preserve"> v Union of Post Office Workers</w:t>
      </w:r>
      <w:r w:rsidRPr="00621B9E">
        <w:rPr>
          <w:szCs w:val="20"/>
        </w:rPr>
        <w:t xml:space="preserve"> [1978] AC 435 (HL) 482 </w:t>
      </w:r>
    </w:p>
  </w:footnote>
  <w:footnote w:id="35">
    <w:p w:rsidR="00FC550C" w:rsidRPr="00621B9E" w:rsidRDefault="00FC550C" w:rsidP="00FC550C">
      <w:pPr>
        <w:pStyle w:val="a8"/>
        <w:rPr>
          <w:szCs w:val="20"/>
        </w:rPr>
      </w:pPr>
      <w:r w:rsidRPr="00621B9E">
        <w:rPr>
          <w:rStyle w:val="a7"/>
          <w:szCs w:val="20"/>
        </w:rPr>
        <w:footnoteRef/>
      </w:r>
      <w:r w:rsidRPr="00621B9E">
        <w:rPr>
          <w:szCs w:val="20"/>
        </w:rPr>
        <w:t xml:space="preserve"> [1982] AC 617 (HL) </w:t>
      </w:r>
    </w:p>
  </w:footnote>
  <w:footnote w:id="36">
    <w:p w:rsidR="00FC550C" w:rsidRPr="00621B9E" w:rsidRDefault="00FC550C" w:rsidP="00FC550C">
      <w:pPr>
        <w:pStyle w:val="a8"/>
        <w:rPr>
          <w:szCs w:val="20"/>
        </w:rPr>
      </w:pPr>
      <w:r w:rsidRPr="00621B9E">
        <w:rPr>
          <w:rStyle w:val="a7"/>
          <w:szCs w:val="20"/>
        </w:rPr>
        <w:footnoteRef/>
      </w:r>
      <w:r w:rsidRPr="00621B9E">
        <w:rPr>
          <w:szCs w:val="20"/>
        </w:rPr>
        <w:t xml:space="preserve"> [1982] AC 617 (HL) 633 </w:t>
      </w:r>
    </w:p>
  </w:footnote>
  <w:footnote w:id="37">
    <w:p w:rsidR="00FC550C" w:rsidRPr="00621B9E" w:rsidRDefault="00FC550C" w:rsidP="00FC550C">
      <w:pPr>
        <w:pStyle w:val="a8"/>
        <w:rPr>
          <w:szCs w:val="20"/>
        </w:rPr>
      </w:pPr>
      <w:r w:rsidRPr="00621B9E">
        <w:rPr>
          <w:rStyle w:val="a7"/>
          <w:szCs w:val="20"/>
        </w:rPr>
        <w:footnoteRef/>
      </w:r>
      <w:r w:rsidRPr="00621B9E">
        <w:rPr>
          <w:szCs w:val="20"/>
        </w:rPr>
        <w:t xml:space="preserve"> </w:t>
      </w:r>
      <w:r w:rsidRPr="00621B9E">
        <w:rPr>
          <w:i/>
          <w:szCs w:val="20"/>
        </w:rPr>
        <w:t>R v Inland Revenue Commissioners, ex parte National Federation for Self-Employed</w:t>
      </w:r>
      <w:r w:rsidRPr="00621B9E">
        <w:rPr>
          <w:szCs w:val="20"/>
        </w:rPr>
        <w:t xml:space="preserve"> [1982] AC 617 (HL) 644 </w:t>
      </w:r>
    </w:p>
  </w:footnote>
  <w:footnote w:id="38">
    <w:p w:rsidR="00FC550C" w:rsidRPr="00621B9E" w:rsidRDefault="00FC550C" w:rsidP="00FC550C">
      <w:pPr>
        <w:pStyle w:val="a8"/>
        <w:rPr>
          <w:szCs w:val="20"/>
        </w:rPr>
      </w:pPr>
      <w:r w:rsidRPr="00621B9E">
        <w:rPr>
          <w:rStyle w:val="a7"/>
          <w:szCs w:val="20"/>
        </w:rPr>
        <w:footnoteRef/>
      </w:r>
      <w:r w:rsidRPr="00621B9E">
        <w:rPr>
          <w:szCs w:val="20"/>
        </w:rPr>
        <w:t xml:space="preserve"> </w:t>
      </w:r>
      <w:r w:rsidRPr="00621B9E">
        <w:rPr>
          <w:i/>
          <w:szCs w:val="20"/>
        </w:rPr>
        <w:t xml:space="preserve"> </w:t>
      </w:r>
      <w:r w:rsidRPr="00621B9E">
        <w:rPr>
          <w:szCs w:val="20"/>
        </w:rPr>
        <w:t xml:space="preserve">[1990] 1 QB 504 (QB) </w:t>
      </w:r>
    </w:p>
  </w:footnote>
  <w:footnote w:id="39">
    <w:p w:rsidR="00FC550C" w:rsidRPr="00621B9E" w:rsidRDefault="00FC550C" w:rsidP="00FC550C">
      <w:pPr>
        <w:pStyle w:val="a8"/>
        <w:rPr>
          <w:szCs w:val="20"/>
        </w:rPr>
      </w:pPr>
      <w:r w:rsidRPr="00621B9E">
        <w:rPr>
          <w:rStyle w:val="a7"/>
          <w:szCs w:val="20"/>
        </w:rPr>
        <w:footnoteRef/>
      </w:r>
      <w:r w:rsidRPr="00621B9E">
        <w:rPr>
          <w:szCs w:val="20"/>
        </w:rPr>
        <w:t xml:space="preserve"> [1990] 1 QB 504 (QB) 522 </w:t>
      </w:r>
    </w:p>
  </w:footnote>
  <w:footnote w:id="40">
    <w:p w:rsidR="00FC550C" w:rsidRPr="00621B9E" w:rsidRDefault="00FC550C" w:rsidP="00FC550C">
      <w:pPr>
        <w:pStyle w:val="a6"/>
        <w:rPr>
          <w:sz w:val="20"/>
          <w:szCs w:val="20"/>
          <w:lang w:val="en-GB"/>
        </w:rPr>
      </w:pPr>
      <w:r w:rsidRPr="00621B9E">
        <w:rPr>
          <w:rStyle w:val="a7"/>
          <w:sz w:val="20"/>
          <w:szCs w:val="20"/>
        </w:rPr>
        <w:footnoteRef/>
      </w:r>
      <w:r w:rsidRPr="00621B9E">
        <w:rPr>
          <w:sz w:val="20"/>
          <w:szCs w:val="20"/>
        </w:rPr>
        <w:t xml:space="preserve"> See for e.g. </w:t>
      </w:r>
      <w:r w:rsidRPr="00621B9E">
        <w:rPr>
          <w:i/>
          <w:sz w:val="20"/>
          <w:szCs w:val="20"/>
        </w:rPr>
        <w:t>W</w:t>
      </w:r>
      <w:r w:rsidRPr="00621B9E">
        <w:rPr>
          <w:i/>
          <w:iCs/>
          <w:sz w:val="20"/>
          <w:szCs w:val="20"/>
        </w:rPr>
        <w:t xml:space="preserve">alton v The Scottish </w:t>
      </w:r>
      <w:proofErr w:type="spellStart"/>
      <w:r w:rsidRPr="00621B9E">
        <w:rPr>
          <w:i/>
          <w:iCs/>
          <w:sz w:val="20"/>
          <w:szCs w:val="20"/>
        </w:rPr>
        <w:t>Minsters</w:t>
      </w:r>
      <w:proofErr w:type="spellEnd"/>
      <w:r w:rsidRPr="00621B9E">
        <w:rPr>
          <w:i/>
          <w:iCs/>
          <w:sz w:val="20"/>
          <w:szCs w:val="20"/>
        </w:rPr>
        <w:t xml:space="preserve"> </w:t>
      </w:r>
      <w:r w:rsidRPr="00621B9E">
        <w:rPr>
          <w:sz w:val="20"/>
          <w:szCs w:val="20"/>
        </w:rPr>
        <w:t xml:space="preserve">[2012] UKSC 44; </w:t>
      </w:r>
      <w:r w:rsidRPr="00621B9E">
        <w:rPr>
          <w:i/>
          <w:iCs/>
          <w:sz w:val="20"/>
          <w:szCs w:val="20"/>
        </w:rPr>
        <w:t xml:space="preserve">Ex p World Development Movement Ltd </w:t>
      </w:r>
      <w:r w:rsidRPr="00621B9E">
        <w:rPr>
          <w:sz w:val="20"/>
          <w:szCs w:val="20"/>
        </w:rPr>
        <w:t xml:space="preserve">[1995] 1 WLR 386.     </w:t>
      </w:r>
    </w:p>
  </w:footnote>
  <w:footnote w:id="41">
    <w:p w:rsidR="00FC550C" w:rsidRPr="00621B9E" w:rsidRDefault="00FC550C" w:rsidP="00FC550C">
      <w:pPr>
        <w:pStyle w:val="a8"/>
        <w:rPr>
          <w:szCs w:val="20"/>
        </w:rPr>
      </w:pPr>
      <w:r w:rsidRPr="00621B9E">
        <w:rPr>
          <w:rStyle w:val="a7"/>
          <w:szCs w:val="20"/>
        </w:rPr>
        <w:footnoteRef/>
      </w:r>
      <w:r w:rsidRPr="00621B9E">
        <w:rPr>
          <w:szCs w:val="20"/>
        </w:rPr>
        <w:t xml:space="preserve"> Timothy Endicott, </w:t>
      </w:r>
      <w:r w:rsidRPr="00621B9E">
        <w:rPr>
          <w:i/>
          <w:szCs w:val="20"/>
        </w:rPr>
        <w:t>Administrative Law</w:t>
      </w:r>
      <w:r w:rsidRPr="00621B9E">
        <w:rPr>
          <w:szCs w:val="20"/>
        </w:rPr>
        <w:t xml:space="preserve"> (2nd </w:t>
      </w:r>
      <w:proofErr w:type="spellStart"/>
      <w:r w:rsidRPr="00621B9E">
        <w:rPr>
          <w:szCs w:val="20"/>
        </w:rPr>
        <w:t>edn</w:t>
      </w:r>
      <w:proofErr w:type="spellEnd"/>
      <w:r w:rsidRPr="00621B9E">
        <w:rPr>
          <w:szCs w:val="20"/>
        </w:rPr>
        <w:t xml:space="preserve">, OUP 2012) 412-415; Harry Woolf, Jeffery </w:t>
      </w:r>
      <w:proofErr w:type="spellStart"/>
      <w:r w:rsidRPr="00621B9E">
        <w:rPr>
          <w:szCs w:val="20"/>
        </w:rPr>
        <w:t>Jowell</w:t>
      </w:r>
      <w:proofErr w:type="spellEnd"/>
      <w:r w:rsidRPr="00621B9E">
        <w:rPr>
          <w:szCs w:val="20"/>
        </w:rPr>
        <w:t xml:space="preserve"> and Andrew Le Sueur (</w:t>
      </w:r>
      <w:proofErr w:type="spellStart"/>
      <w:proofErr w:type="gramStart"/>
      <w:r w:rsidRPr="00621B9E">
        <w:rPr>
          <w:szCs w:val="20"/>
        </w:rPr>
        <w:t>eds</w:t>
      </w:r>
      <w:proofErr w:type="spellEnd"/>
      <w:proofErr w:type="gramEnd"/>
      <w:r w:rsidRPr="00621B9E">
        <w:rPr>
          <w:szCs w:val="20"/>
        </w:rPr>
        <w:t xml:space="preserve">), </w:t>
      </w:r>
      <w:r w:rsidRPr="00621B9E">
        <w:rPr>
          <w:i/>
          <w:szCs w:val="20"/>
        </w:rPr>
        <w:t xml:space="preserve">De Smith’s Judicial Review </w:t>
      </w:r>
      <w:r w:rsidRPr="00621B9E">
        <w:rPr>
          <w:szCs w:val="20"/>
        </w:rPr>
        <w:t xml:space="preserve">(6th </w:t>
      </w:r>
      <w:proofErr w:type="spellStart"/>
      <w:r w:rsidRPr="00621B9E">
        <w:rPr>
          <w:szCs w:val="20"/>
        </w:rPr>
        <w:t>edn</w:t>
      </w:r>
      <w:proofErr w:type="spellEnd"/>
      <w:r w:rsidRPr="00621B9E">
        <w:rPr>
          <w:szCs w:val="20"/>
        </w:rPr>
        <w:t>, Sweet &amp; Maxwell 2007) [2-004], where it was rightly stated that ‘the court’s resources should not be dissipated by the need to provide a forum for frivolous or academic proceedings’.</w:t>
      </w:r>
    </w:p>
  </w:footnote>
  <w:footnote w:id="42">
    <w:p w:rsidR="00FC550C" w:rsidRPr="00621B9E" w:rsidRDefault="00FC550C" w:rsidP="00FC550C">
      <w:pPr>
        <w:pStyle w:val="a8"/>
        <w:rPr>
          <w:szCs w:val="20"/>
        </w:rPr>
      </w:pPr>
      <w:r w:rsidRPr="00621B9E">
        <w:rPr>
          <w:rStyle w:val="a7"/>
          <w:szCs w:val="20"/>
        </w:rPr>
        <w:footnoteRef/>
      </w:r>
      <w:r w:rsidRPr="00621B9E">
        <w:rPr>
          <w:szCs w:val="20"/>
        </w:rPr>
        <w:t xml:space="preserve"> S </w:t>
      </w:r>
      <w:proofErr w:type="spellStart"/>
      <w:r w:rsidRPr="00621B9E">
        <w:rPr>
          <w:szCs w:val="20"/>
        </w:rPr>
        <w:t>Hannett</w:t>
      </w:r>
      <w:proofErr w:type="spellEnd"/>
      <w:r w:rsidRPr="00621B9E">
        <w:rPr>
          <w:szCs w:val="20"/>
        </w:rPr>
        <w:t xml:space="preserve">, ‘Third Party Intervention: In the Public Interest?’ [2003] PL 128, 137-140 </w:t>
      </w:r>
    </w:p>
  </w:footnote>
  <w:footnote w:id="43">
    <w:p w:rsidR="00FC550C" w:rsidRPr="0002678C" w:rsidRDefault="00FC550C" w:rsidP="00FC550C">
      <w:pPr>
        <w:pStyle w:val="a6"/>
        <w:rPr>
          <w:sz w:val="20"/>
          <w:szCs w:val="20"/>
          <w:lang w:val="en-GB"/>
        </w:rPr>
      </w:pPr>
      <w:r w:rsidRPr="0002678C">
        <w:rPr>
          <w:rStyle w:val="a7"/>
          <w:sz w:val="20"/>
          <w:szCs w:val="20"/>
        </w:rPr>
        <w:footnoteRef/>
      </w:r>
      <w:r w:rsidRPr="0002678C">
        <w:rPr>
          <w:sz w:val="20"/>
          <w:szCs w:val="20"/>
        </w:rPr>
        <w:t xml:space="preserve"> </w:t>
      </w:r>
      <w:r w:rsidRPr="0002678C">
        <w:rPr>
          <w:i/>
          <w:sz w:val="20"/>
          <w:szCs w:val="20"/>
        </w:rPr>
        <w:t>W</w:t>
      </w:r>
      <w:r w:rsidRPr="0002678C">
        <w:rPr>
          <w:i/>
          <w:iCs/>
          <w:sz w:val="20"/>
          <w:szCs w:val="20"/>
        </w:rPr>
        <w:t xml:space="preserve">alton v </w:t>
      </w:r>
      <w:proofErr w:type="gramStart"/>
      <w:r w:rsidRPr="0002678C">
        <w:rPr>
          <w:i/>
          <w:iCs/>
          <w:sz w:val="20"/>
          <w:szCs w:val="20"/>
        </w:rPr>
        <w:t>The</w:t>
      </w:r>
      <w:proofErr w:type="gramEnd"/>
      <w:r w:rsidRPr="0002678C">
        <w:rPr>
          <w:i/>
          <w:iCs/>
          <w:sz w:val="20"/>
          <w:szCs w:val="20"/>
        </w:rPr>
        <w:t xml:space="preserve"> Scottish </w:t>
      </w:r>
      <w:proofErr w:type="spellStart"/>
      <w:r w:rsidRPr="0002678C">
        <w:rPr>
          <w:i/>
          <w:iCs/>
          <w:sz w:val="20"/>
          <w:szCs w:val="20"/>
        </w:rPr>
        <w:t>Minsters</w:t>
      </w:r>
      <w:proofErr w:type="spellEnd"/>
      <w:r w:rsidRPr="0002678C">
        <w:rPr>
          <w:i/>
          <w:iCs/>
          <w:sz w:val="20"/>
          <w:szCs w:val="20"/>
        </w:rPr>
        <w:t xml:space="preserve"> </w:t>
      </w:r>
      <w:r w:rsidRPr="0002678C">
        <w:rPr>
          <w:sz w:val="20"/>
          <w:szCs w:val="20"/>
        </w:rPr>
        <w:t>[2012] UKSC 44, [152].</w:t>
      </w:r>
    </w:p>
  </w:footnote>
  <w:footnote w:id="44">
    <w:p w:rsidR="00FC550C" w:rsidRPr="00621B9E" w:rsidRDefault="00FC550C" w:rsidP="00FC550C">
      <w:pPr>
        <w:pStyle w:val="a8"/>
        <w:rPr>
          <w:szCs w:val="20"/>
        </w:rPr>
      </w:pPr>
      <w:r w:rsidRPr="00621B9E">
        <w:rPr>
          <w:rStyle w:val="a7"/>
          <w:szCs w:val="20"/>
        </w:rPr>
        <w:footnoteRef/>
      </w:r>
      <w:r w:rsidRPr="00621B9E">
        <w:rPr>
          <w:szCs w:val="20"/>
        </w:rPr>
        <w:t xml:space="preserve"> </w:t>
      </w:r>
      <w:r w:rsidRPr="00621B9E">
        <w:rPr>
          <w:i/>
          <w:szCs w:val="20"/>
        </w:rPr>
        <w:t>R v Inland Revenue Commissioners, ex parte National Federation for Self-Employed</w:t>
      </w:r>
      <w:r w:rsidRPr="00621B9E">
        <w:rPr>
          <w:szCs w:val="20"/>
        </w:rPr>
        <w:t xml:space="preserve"> [1982] AC 617 (HL); Paul Craig, </w:t>
      </w:r>
      <w:r w:rsidRPr="00621B9E">
        <w:rPr>
          <w:i/>
          <w:szCs w:val="20"/>
        </w:rPr>
        <w:t>Administrative Law</w:t>
      </w:r>
      <w:r w:rsidRPr="00621B9E">
        <w:rPr>
          <w:szCs w:val="20"/>
        </w:rPr>
        <w:t xml:space="preserve"> (7th </w:t>
      </w:r>
      <w:proofErr w:type="spellStart"/>
      <w:r w:rsidRPr="00621B9E">
        <w:rPr>
          <w:szCs w:val="20"/>
        </w:rPr>
        <w:t>edn</w:t>
      </w:r>
      <w:proofErr w:type="spellEnd"/>
      <w:r w:rsidRPr="00621B9E">
        <w:rPr>
          <w:szCs w:val="20"/>
        </w:rPr>
        <w:t xml:space="preserve">, Sweet &amp; Maxwell 2012) [25-015] </w:t>
      </w:r>
    </w:p>
  </w:footnote>
  <w:footnote w:id="45">
    <w:p w:rsidR="00FC550C" w:rsidRPr="00621B9E" w:rsidRDefault="00FC550C" w:rsidP="00FC550C">
      <w:pPr>
        <w:pStyle w:val="a8"/>
        <w:rPr>
          <w:szCs w:val="20"/>
        </w:rPr>
      </w:pPr>
      <w:r w:rsidRPr="00621B9E">
        <w:rPr>
          <w:rStyle w:val="a7"/>
          <w:szCs w:val="20"/>
        </w:rPr>
        <w:footnoteRef/>
      </w:r>
      <w:r w:rsidRPr="00621B9E">
        <w:rPr>
          <w:szCs w:val="20"/>
        </w:rPr>
        <w:t xml:space="preserve"> </w:t>
      </w:r>
      <w:r w:rsidRPr="00621B9E">
        <w:rPr>
          <w:i/>
          <w:szCs w:val="20"/>
        </w:rPr>
        <w:t>R v Inspectorate of Pollution, ex parte Greenpeace (No. 2)</w:t>
      </w:r>
      <w:r w:rsidRPr="00621B9E">
        <w:rPr>
          <w:szCs w:val="20"/>
        </w:rPr>
        <w:t xml:space="preserve"> [1994] 4 All ER 329 (QB) </w:t>
      </w:r>
    </w:p>
  </w:footnote>
  <w:footnote w:id="46">
    <w:p w:rsidR="00FC550C" w:rsidRPr="00621B9E" w:rsidRDefault="00FC550C" w:rsidP="00FC550C">
      <w:pPr>
        <w:pStyle w:val="a8"/>
        <w:rPr>
          <w:szCs w:val="20"/>
        </w:rPr>
      </w:pPr>
      <w:r w:rsidRPr="00621B9E">
        <w:rPr>
          <w:rStyle w:val="a7"/>
          <w:szCs w:val="20"/>
        </w:rPr>
        <w:footnoteRef/>
      </w:r>
      <w:r w:rsidRPr="00621B9E">
        <w:rPr>
          <w:szCs w:val="20"/>
        </w:rPr>
        <w:t xml:space="preserve"> </w:t>
      </w:r>
      <w:r w:rsidRPr="00621B9E">
        <w:rPr>
          <w:i/>
          <w:szCs w:val="20"/>
        </w:rPr>
        <w:t>De Smith’s Judicial Review</w:t>
      </w:r>
      <w:r w:rsidRPr="00621B9E">
        <w:rPr>
          <w:szCs w:val="20"/>
        </w:rPr>
        <w:t xml:space="preserve"> [2-033] </w:t>
      </w:r>
    </w:p>
  </w:footnote>
  <w:footnote w:id="47">
    <w:p w:rsidR="00FC550C" w:rsidRPr="00621B9E" w:rsidRDefault="00FC550C" w:rsidP="00FC550C">
      <w:pPr>
        <w:pStyle w:val="a8"/>
        <w:rPr>
          <w:szCs w:val="20"/>
        </w:rPr>
      </w:pPr>
      <w:r w:rsidRPr="00621B9E">
        <w:rPr>
          <w:rStyle w:val="a7"/>
          <w:szCs w:val="20"/>
        </w:rPr>
        <w:footnoteRef/>
      </w:r>
      <w:r w:rsidRPr="00621B9E">
        <w:rPr>
          <w:szCs w:val="20"/>
        </w:rPr>
        <w:t xml:space="preserve"> </w:t>
      </w:r>
      <w:r w:rsidRPr="00621B9E">
        <w:rPr>
          <w:i/>
          <w:szCs w:val="20"/>
        </w:rPr>
        <w:t>R v Inland Revenue Commissioners, ex parte National Federation for Self-Employed</w:t>
      </w:r>
      <w:r w:rsidRPr="00621B9E">
        <w:rPr>
          <w:szCs w:val="20"/>
        </w:rPr>
        <w:t xml:space="preserve"> [1982] AC 617 (HL) 630 </w:t>
      </w:r>
    </w:p>
  </w:footnote>
  <w:footnote w:id="48">
    <w:p w:rsidR="00FC550C" w:rsidRPr="00621B9E" w:rsidRDefault="00FC550C" w:rsidP="00FC550C">
      <w:pPr>
        <w:pStyle w:val="a8"/>
        <w:rPr>
          <w:szCs w:val="20"/>
        </w:rPr>
      </w:pPr>
      <w:r w:rsidRPr="00621B9E">
        <w:rPr>
          <w:rStyle w:val="a7"/>
          <w:szCs w:val="20"/>
        </w:rPr>
        <w:footnoteRef/>
      </w:r>
      <w:r w:rsidRPr="00621B9E">
        <w:rPr>
          <w:szCs w:val="20"/>
        </w:rPr>
        <w:t xml:space="preserve"> </w:t>
      </w:r>
      <w:hyperlink r:id="rId1" w:history="1">
        <w:r w:rsidRPr="00621B9E">
          <w:rPr>
            <w:rStyle w:val="aa"/>
            <w:szCs w:val="20"/>
          </w:rPr>
          <w:t>http://www.sciencedaily.com/releases/2013/06/130617111345.htm</w:t>
        </w:r>
      </w:hyperlink>
      <w:r w:rsidRPr="00621B9E">
        <w:rPr>
          <w:szCs w:val="20"/>
        </w:rPr>
        <w:t xml:space="preserve"> </w:t>
      </w:r>
    </w:p>
  </w:footnote>
  <w:footnote w:id="49">
    <w:p w:rsidR="00FC550C" w:rsidRPr="00621B9E" w:rsidRDefault="00FC550C" w:rsidP="00FC550C">
      <w:pPr>
        <w:pStyle w:val="a8"/>
        <w:rPr>
          <w:szCs w:val="20"/>
        </w:rPr>
      </w:pPr>
      <w:r w:rsidRPr="00621B9E">
        <w:rPr>
          <w:rStyle w:val="a7"/>
          <w:szCs w:val="20"/>
        </w:rPr>
        <w:footnoteRef/>
      </w:r>
      <w:r w:rsidRPr="00621B9E">
        <w:rPr>
          <w:szCs w:val="20"/>
        </w:rPr>
        <w:t xml:space="preserve"> </w:t>
      </w:r>
      <w:r w:rsidRPr="00621B9E">
        <w:rPr>
          <w:i/>
          <w:szCs w:val="20"/>
        </w:rPr>
        <w:t xml:space="preserve">Associated Provincial Picture Houses Limited v </w:t>
      </w:r>
      <w:proofErr w:type="spellStart"/>
      <w:r w:rsidRPr="00621B9E">
        <w:rPr>
          <w:i/>
          <w:szCs w:val="20"/>
        </w:rPr>
        <w:t>Wednesbury</w:t>
      </w:r>
      <w:proofErr w:type="spellEnd"/>
      <w:r w:rsidRPr="00621B9E">
        <w:rPr>
          <w:i/>
          <w:szCs w:val="20"/>
        </w:rPr>
        <w:t xml:space="preserve"> Corporation</w:t>
      </w:r>
      <w:r w:rsidRPr="00621B9E">
        <w:rPr>
          <w:szCs w:val="20"/>
        </w:rPr>
        <w:t xml:space="preserve"> [1948] 1 KB 223 (HL) 230 </w:t>
      </w:r>
    </w:p>
  </w:footnote>
  <w:footnote w:id="50">
    <w:p w:rsidR="00FC550C" w:rsidRPr="00621B9E" w:rsidRDefault="00FC550C" w:rsidP="00FC550C">
      <w:pPr>
        <w:pStyle w:val="a8"/>
        <w:rPr>
          <w:szCs w:val="20"/>
        </w:rPr>
      </w:pPr>
      <w:r w:rsidRPr="00621B9E">
        <w:rPr>
          <w:rStyle w:val="a7"/>
          <w:szCs w:val="20"/>
        </w:rPr>
        <w:footnoteRef/>
      </w:r>
      <w:r w:rsidRPr="00621B9E">
        <w:rPr>
          <w:szCs w:val="20"/>
        </w:rPr>
        <w:t xml:space="preserve"> </w:t>
      </w:r>
      <w:hyperlink r:id="rId2" w:history="1">
        <w:r w:rsidRPr="00621B9E">
          <w:rPr>
            <w:rStyle w:val="aa"/>
            <w:szCs w:val="20"/>
          </w:rPr>
          <w:t>http://wwf.panda.org/about_our_earth/biodiversity/biodiversity/</w:t>
        </w:r>
      </w:hyperlink>
      <w:r w:rsidRPr="00621B9E">
        <w:rPr>
          <w:szCs w:val="20"/>
        </w:rPr>
        <w:t xml:space="preserve"> </w:t>
      </w:r>
    </w:p>
  </w:footnote>
  <w:footnote w:id="51">
    <w:p w:rsidR="00FC550C" w:rsidRPr="00621B9E" w:rsidRDefault="00FC550C" w:rsidP="00FC550C">
      <w:pPr>
        <w:pStyle w:val="a8"/>
        <w:rPr>
          <w:szCs w:val="20"/>
        </w:rPr>
      </w:pPr>
      <w:r w:rsidRPr="00621B9E">
        <w:rPr>
          <w:rStyle w:val="a7"/>
          <w:szCs w:val="20"/>
        </w:rPr>
        <w:footnoteRef/>
      </w:r>
      <w:r w:rsidRPr="00621B9E">
        <w:rPr>
          <w:szCs w:val="20"/>
        </w:rPr>
        <w:t xml:space="preserve"> </w:t>
      </w:r>
      <w:r w:rsidRPr="00621B9E">
        <w:rPr>
          <w:i/>
          <w:szCs w:val="20"/>
        </w:rPr>
        <w:t>R v Inspectorate of Pollution, ex parte Greenpeace (No. 2)</w:t>
      </w:r>
      <w:r w:rsidRPr="00621B9E">
        <w:rPr>
          <w:szCs w:val="20"/>
        </w:rPr>
        <w:t xml:space="preserve"> [1994] 4 All ER 329 (QB) [81] </w:t>
      </w:r>
    </w:p>
  </w:footnote>
  <w:footnote w:id="52">
    <w:p w:rsidR="00FC550C" w:rsidRPr="00621B9E" w:rsidRDefault="00FC550C" w:rsidP="00FC550C">
      <w:pPr>
        <w:pStyle w:val="a8"/>
        <w:rPr>
          <w:szCs w:val="20"/>
        </w:rPr>
      </w:pPr>
      <w:r w:rsidRPr="00621B9E">
        <w:rPr>
          <w:rStyle w:val="a7"/>
          <w:szCs w:val="20"/>
        </w:rPr>
        <w:footnoteRef/>
      </w:r>
      <w:r w:rsidRPr="00621B9E">
        <w:rPr>
          <w:szCs w:val="20"/>
        </w:rPr>
        <w:t xml:space="preserve"> </w:t>
      </w:r>
      <w:r w:rsidRPr="00621B9E">
        <w:rPr>
          <w:i/>
          <w:szCs w:val="20"/>
        </w:rPr>
        <w:t>R v Inspectorate of Pollution, ex parte Greenpeace (No. 2)</w:t>
      </w:r>
      <w:r w:rsidRPr="00621B9E">
        <w:rPr>
          <w:szCs w:val="20"/>
        </w:rPr>
        <w:t xml:space="preserve"> [1994] 4 All ER 329 (QB) [80] </w:t>
      </w:r>
    </w:p>
  </w:footnote>
  <w:footnote w:id="53">
    <w:p w:rsidR="00FC550C" w:rsidRPr="00621B9E" w:rsidRDefault="00FC550C" w:rsidP="00FC550C">
      <w:pPr>
        <w:pStyle w:val="a8"/>
        <w:rPr>
          <w:szCs w:val="20"/>
        </w:rPr>
      </w:pPr>
      <w:r w:rsidRPr="00621B9E">
        <w:rPr>
          <w:rStyle w:val="a7"/>
          <w:szCs w:val="20"/>
        </w:rPr>
        <w:footnoteRef/>
      </w:r>
      <w:r w:rsidRPr="00621B9E">
        <w:rPr>
          <w:szCs w:val="20"/>
        </w:rPr>
        <w:t xml:space="preserve"> </w:t>
      </w:r>
      <w:r w:rsidRPr="00621B9E">
        <w:rPr>
          <w:i/>
          <w:szCs w:val="20"/>
        </w:rPr>
        <w:t>R v Legal Aid Board, ex parte Bateman</w:t>
      </w:r>
      <w:r w:rsidRPr="00621B9E">
        <w:rPr>
          <w:szCs w:val="20"/>
        </w:rPr>
        <w:t xml:space="preserve"> [1992] 3 All ER 490 </w:t>
      </w:r>
    </w:p>
  </w:footnote>
  <w:footnote w:id="54">
    <w:p w:rsidR="00FC550C" w:rsidRPr="00621B9E" w:rsidRDefault="00FC550C" w:rsidP="00FC550C">
      <w:pPr>
        <w:pStyle w:val="a8"/>
        <w:rPr>
          <w:szCs w:val="20"/>
        </w:rPr>
      </w:pPr>
      <w:r w:rsidRPr="00621B9E">
        <w:rPr>
          <w:rStyle w:val="a7"/>
          <w:szCs w:val="20"/>
        </w:rPr>
        <w:footnoteRef/>
      </w:r>
      <w:r w:rsidRPr="00621B9E">
        <w:rPr>
          <w:szCs w:val="20"/>
        </w:rPr>
        <w:t xml:space="preserve"> </w:t>
      </w:r>
      <w:r w:rsidRPr="00621B9E">
        <w:rPr>
          <w:i/>
          <w:szCs w:val="20"/>
        </w:rPr>
        <w:t>R (Dixon) v Somerset CC</w:t>
      </w:r>
      <w:r w:rsidRPr="00621B9E">
        <w:rPr>
          <w:szCs w:val="20"/>
        </w:rPr>
        <w:t xml:space="preserve"> [1998] </w:t>
      </w:r>
      <w:proofErr w:type="spellStart"/>
      <w:r w:rsidRPr="00621B9E">
        <w:rPr>
          <w:szCs w:val="20"/>
        </w:rPr>
        <w:t>EnvLR</w:t>
      </w:r>
      <w:proofErr w:type="spellEnd"/>
      <w:r w:rsidRPr="00621B9E">
        <w:rPr>
          <w:szCs w:val="20"/>
        </w:rPr>
        <w:t xml:space="preserve"> 111 </w:t>
      </w:r>
    </w:p>
  </w:footnote>
  <w:footnote w:id="55">
    <w:p w:rsidR="00FC550C" w:rsidRPr="00621B9E" w:rsidRDefault="00FC550C" w:rsidP="00FC550C">
      <w:pPr>
        <w:pStyle w:val="a8"/>
        <w:rPr>
          <w:szCs w:val="20"/>
        </w:rPr>
      </w:pPr>
      <w:r w:rsidRPr="00621B9E">
        <w:rPr>
          <w:rStyle w:val="a7"/>
          <w:szCs w:val="20"/>
        </w:rPr>
        <w:footnoteRef/>
      </w:r>
      <w:r w:rsidRPr="00621B9E">
        <w:rPr>
          <w:szCs w:val="20"/>
        </w:rPr>
        <w:t xml:space="preserve"> </w:t>
      </w:r>
      <w:r w:rsidRPr="00621B9E">
        <w:rPr>
          <w:i/>
          <w:szCs w:val="20"/>
        </w:rPr>
        <w:t>R (</w:t>
      </w:r>
      <w:proofErr w:type="spellStart"/>
      <w:r w:rsidRPr="00621B9E">
        <w:rPr>
          <w:i/>
          <w:szCs w:val="20"/>
        </w:rPr>
        <w:t>Feakins</w:t>
      </w:r>
      <w:proofErr w:type="spellEnd"/>
      <w:r w:rsidRPr="00621B9E">
        <w:rPr>
          <w:i/>
          <w:szCs w:val="20"/>
        </w:rPr>
        <w:t xml:space="preserve">) v Secretary of State for Environment, Food and Rural Affairs </w:t>
      </w:r>
      <w:r w:rsidRPr="00621B9E">
        <w:rPr>
          <w:szCs w:val="20"/>
        </w:rPr>
        <w:t xml:space="preserve">[2003] EWCA </w:t>
      </w:r>
      <w:proofErr w:type="spellStart"/>
      <w:r w:rsidRPr="00621B9E">
        <w:rPr>
          <w:szCs w:val="20"/>
        </w:rPr>
        <w:t>Civ</w:t>
      </w:r>
      <w:proofErr w:type="spellEnd"/>
      <w:r w:rsidRPr="00621B9E">
        <w:rPr>
          <w:szCs w:val="20"/>
        </w:rPr>
        <w:t xml:space="preserve"> 1546, [2004] 1 WLR 1761 (CA) [23] </w:t>
      </w:r>
    </w:p>
  </w:footnote>
  <w:footnote w:id="56">
    <w:p w:rsidR="00FC550C" w:rsidRPr="00621B9E" w:rsidRDefault="00FC550C" w:rsidP="00FC550C">
      <w:pPr>
        <w:pStyle w:val="a8"/>
        <w:rPr>
          <w:szCs w:val="20"/>
        </w:rPr>
      </w:pPr>
      <w:r w:rsidRPr="00621B9E">
        <w:rPr>
          <w:rStyle w:val="a7"/>
          <w:szCs w:val="20"/>
        </w:rPr>
        <w:footnoteRef/>
      </w:r>
      <w:r w:rsidRPr="00621B9E">
        <w:rPr>
          <w:szCs w:val="20"/>
        </w:rPr>
        <w:t xml:space="preserve"> Freedom of Information Act </w:t>
      </w:r>
    </w:p>
  </w:footnote>
  <w:footnote w:id="57">
    <w:p w:rsidR="00FC550C" w:rsidRPr="00621B9E" w:rsidRDefault="00FC550C" w:rsidP="00FC550C">
      <w:pPr>
        <w:pStyle w:val="a8"/>
        <w:rPr>
          <w:szCs w:val="20"/>
        </w:rPr>
      </w:pPr>
      <w:r w:rsidRPr="00621B9E">
        <w:rPr>
          <w:rStyle w:val="a7"/>
          <w:szCs w:val="20"/>
        </w:rPr>
        <w:footnoteRef/>
      </w:r>
      <w:r w:rsidRPr="00621B9E">
        <w:rPr>
          <w:szCs w:val="20"/>
        </w:rPr>
        <w:t xml:space="preserve"> </w:t>
      </w:r>
      <w:proofErr w:type="spellStart"/>
      <w:r w:rsidRPr="00621B9E">
        <w:rPr>
          <w:szCs w:val="20"/>
        </w:rPr>
        <w:t>Loi</w:t>
      </w:r>
      <w:proofErr w:type="spellEnd"/>
      <w:r w:rsidRPr="00621B9E">
        <w:rPr>
          <w:szCs w:val="20"/>
        </w:rPr>
        <w:t xml:space="preserve"> n°78-753 du 17 </w:t>
      </w:r>
      <w:proofErr w:type="spellStart"/>
      <w:r w:rsidRPr="00621B9E">
        <w:rPr>
          <w:szCs w:val="20"/>
        </w:rPr>
        <w:t>juillet</w:t>
      </w:r>
      <w:proofErr w:type="spellEnd"/>
      <w:r w:rsidRPr="00621B9E">
        <w:rPr>
          <w:szCs w:val="20"/>
        </w:rPr>
        <w:t xml:space="preserve"> 1978 </w:t>
      </w:r>
      <w:proofErr w:type="spellStart"/>
      <w:r w:rsidRPr="00621B9E">
        <w:rPr>
          <w:szCs w:val="20"/>
        </w:rPr>
        <w:t>portant</w:t>
      </w:r>
      <w:proofErr w:type="spellEnd"/>
      <w:r w:rsidRPr="00621B9E">
        <w:rPr>
          <w:szCs w:val="20"/>
        </w:rPr>
        <w:t xml:space="preserve"> </w:t>
      </w:r>
      <w:proofErr w:type="spellStart"/>
      <w:r w:rsidRPr="00621B9E">
        <w:rPr>
          <w:szCs w:val="20"/>
        </w:rPr>
        <w:t>diverses</w:t>
      </w:r>
      <w:proofErr w:type="spellEnd"/>
      <w:r w:rsidRPr="00621B9E">
        <w:rPr>
          <w:szCs w:val="20"/>
        </w:rPr>
        <w:t xml:space="preserve"> </w:t>
      </w:r>
      <w:proofErr w:type="spellStart"/>
      <w:r w:rsidRPr="00621B9E">
        <w:rPr>
          <w:szCs w:val="20"/>
        </w:rPr>
        <w:t>mesures</w:t>
      </w:r>
      <w:proofErr w:type="spellEnd"/>
      <w:r w:rsidRPr="00621B9E">
        <w:rPr>
          <w:szCs w:val="20"/>
        </w:rPr>
        <w:t xml:space="preserve"> </w:t>
      </w:r>
      <w:proofErr w:type="spellStart"/>
      <w:r w:rsidRPr="00621B9E">
        <w:rPr>
          <w:szCs w:val="20"/>
        </w:rPr>
        <w:t>d'amélioration</w:t>
      </w:r>
      <w:proofErr w:type="spellEnd"/>
      <w:r w:rsidRPr="00621B9E">
        <w:rPr>
          <w:szCs w:val="20"/>
        </w:rPr>
        <w:t xml:space="preserve"> des relations entre </w:t>
      </w:r>
      <w:proofErr w:type="spellStart"/>
      <w:r w:rsidRPr="00621B9E">
        <w:rPr>
          <w:szCs w:val="20"/>
        </w:rPr>
        <w:t>l'administration</w:t>
      </w:r>
      <w:proofErr w:type="spellEnd"/>
      <w:r w:rsidRPr="00621B9E">
        <w:rPr>
          <w:szCs w:val="20"/>
        </w:rPr>
        <w:t xml:space="preserve"> et le public et </w:t>
      </w:r>
      <w:proofErr w:type="spellStart"/>
      <w:r w:rsidRPr="00621B9E">
        <w:rPr>
          <w:szCs w:val="20"/>
        </w:rPr>
        <w:t>diverses</w:t>
      </w:r>
      <w:proofErr w:type="spellEnd"/>
      <w:r w:rsidRPr="00621B9E">
        <w:rPr>
          <w:szCs w:val="20"/>
        </w:rPr>
        <w:t xml:space="preserve"> dispositions </w:t>
      </w:r>
      <w:proofErr w:type="spellStart"/>
      <w:r w:rsidRPr="00621B9E">
        <w:rPr>
          <w:szCs w:val="20"/>
        </w:rPr>
        <w:t>d'ordre</w:t>
      </w:r>
      <w:proofErr w:type="spellEnd"/>
      <w:r w:rsidRPr="00621B9E">
        <w:rPr>
          <w:szCs w:val="20"/>
        </w:rPr>
        <w:t xml:space="preserve"> </w:t>
      </w:r>
      <w:proofErr w:type="spellStart"/>
      <w:r w:rsidRPr="00621B9E">
        <w:rPr>
          <w:szCs w:val="20"/>
        </w:rPr>
        <w:t>administratif</w:t>
      </w:r>
      <w:proofErr w:type="spellEnd"/>
      <w:r w:rsidRPr="00621B9E">
        <w:rPr>
          <w:szCs w:val="20"/>
        </w:rPr>
        <w:t>, social et fiscal</w:t>
      </w:r>
    </w:p>
  </w:footnote>
  <w:footnote w:id="58">
    <w:p w:rsidR="00FC550C" w:rsidRPr="00621B9E" w:rsidRDefault="00FC550C" w:rsidP="00FC550C">
      <w:pPr>
        <w:pStyle w:val="a8"/>
        <w:rPr>
          <w:szCs w:val="20"/>
        </w:rPr>
      </w:pPr>
      <w:r w:rsidRPr="00621B9E">
        <w:rPr>
          <w:rStyle w:val="a7"/>
          <w:szCs w:val="20"/>
        </w:rPr>
        <w:footnoteRef/>
      </w:r>
      <w:r w:rsidRPr="00621B9E">
        <w:rPr>
          <w:szCs w:val="20"/>
        </w:rPr>
        <w:t xml:space="preserve"> Freedom of Information Act 1982; generally, see Paul Craig, </w:t>
      </w:r>
      <w:r w:rsidRPr="00621B9E">
        <w:rPr>
          <w:i/>
          <w:szCs w:val="20"/>
        </w:rPr>
        <w:t>Administrative Law</w:t>
      </w:r>
      <w:r w:rsidRPr="00621B9E">
        <w:rPr>
          <w:szCs w:val="20"/>
        </w:rPr>
        <w:t xml:space="preserve"> (7th </w:t>
      </w:r>
      <w:proofErr w:type="spellStart"/>
      <w:r w:rsidRPr="00621B9E">
        <w:rPr>
          <w:szCs w:val="20"/>
        </w:rPr>
        <w:t>edn</w:t>
      </w:r>
      <w:proofErr w:type="spellEnd"/>
      <w:r w:rsidRPr="00621B9E">
        <w:rPr>
          <w:szCs w:val="20"/>
        </w:rPr>
        <w:t xml:space="preserve">, Sweet &amp; Maxwell 2012) [8-002] </w:t>
      </w:r>
    </w:p>
  </w:footnote>
  <w:footnote w:id="59">
    <w:p w:rsidR="00FC550C" w:rsidRPr="00621B9E" w:rsidRDefault="00FC550C" w:rsidP="00FC550C">
      <w:pPr>
        <w:pStyle w:val="a8"/>
        <w:rPr>
          <w:szCs w:val="20"/>
        </w:rPr>
      </w:pPr>
      <w:r w:rsidRPr="00621B9E">
        <w:rPr>
          <w:rStyle w:val="a7"/>
          <w:szCs w:val="20"/>
        </w:rPr>
        <w:footnoteRef/>
      </w:r>
      <w:r w:rsidRPr="00621B9E">
        <w:rPr>
          <w:szCs w:val="20"/>
        </w:rPr>
        <w:t xml:space="preserve"> Paul Craig, </w:t>
      </w:r>
      <w:r w:rsidRPr="00621B9E">
        <w:rPr>
          <w:i/>
          <w:szCs w:val="20"/>
        </w:rPr>
        <w:t>Administrative Law</w:t>
      </w:r>
      <w:r w:rsidRPr="00621B9E">
        <w:rPr>
          <w:szCs w:val="20"/>
        </w:rPr>
        <w:t xml:space="preserve"> (7th </w:t>
      </w:r>
      <w:proofErr w:type="spellStart"/>
      <w:r w:rsidRPr="00621B9E">
        <w:rPr>
          <w:szCs w:val="20"/>
        </w:rPr>
        <w:t>edn</w:t>
      </w:r>
      <w:proofErr w:type="spellEnd"/>
      <w:r w:rsidRPr="00621B9E">
        <w:rPr>
          <w:szCs w:val="20"/>
        </w:rPr>
        <w:t xml:space="preserve">, Sweet &amp; Maxwell 2012) [8-002] </w:t>
      </w:r>
    </w:p>
  </w:footnote>
  <w:footnote w:id="60">
    <w:p w:rsidR="00FC550C" w:rsidRPr="00621B9E" w:rsidRDefault="00FC550C" w:rsidP="00FC550C">
      <w:pPr>
        <w:pStyle w:val="a8"/>
        <w:rPr>
          <w:szCs w:val="20"/>
        </w:rPr>
      </w:pPr>
      <w:r w:rsidRPr="00621B9E">
        <w:rPr>
          <w:rStyle w:val="a7"/>
          <w:szCs w:val="20"/>
        </w:rPr>
        <w:footnoteRef/>
      </w:r>
      <w:r w:rsidRPr="00621B9E">
        <w:rPr>
          <w:szCs w:val="20"/>
        </w:rPr>
        <w:t xml:space="preserve"> Jeffery </w:t>
      </w:r>
      <w:proofErr w:type="spellStart"/>
      <w:r w:rsidRPr="00621B9E">
        <w:rPr>
          <w:szCs w:val="20"/>
        </w:rPr>
        <w:t>Jowell</w:t>
      </w:r>
      <w:proofErr w:type="spellEnd"/>
      <w:r w:rsidRPr="00621B9E">
        <w:rPr>
          <w:szCs w:val="20"/>
        </w:rPr>
        <w:t xml:space="preserve"> and Dawn Oliver, </w:t>
      </w:r>
      <w:r w:rsidRPr="00621B9E">
        <w:rPr>
          <w:i/>
          <w:szCs w:val="20"/>
        </w:rPr>
        <w:t xml:space="preserve">The Changing Constitution </w:t>
      </w:r>
      <w:r w:rsidRPr="00621B9E">
        <w:rPr>
          <w:szCs w:val="20"/>
        </w:rPr>
        <w:t xml:space="preserve">(OUP 2011) </w:t>
      </w:r>
    </w:p>
  </w:footnote>
  <w:footnote w:id="61">
    <w:p w:rsidR="00FC550C" w:rsidRPr="00621B9E" w:rsidRDefault="00FC550C" w:rsidP="00FC550C">
      <w:pPr>
        <w:pStyle w:val="a8"/>
        <w:rPr>
          <w:szCs w:val="20"/>
        </w:rPr>
      </w:pPr>
      <w:r w:rsidRPr="00621B9E">
        <w:rPr>
          <w:rStyle w:val="a7"/>
          <w:szCs w:val="20"/>
        </w:rPr>
        <w:footnoteRef/>
      </w:r>
      <w:r w:rsidRPr="00621B9E">
        <w:rPr>
          <w:szCs w:val="20"/>
        </w:rPr>
        <w:t xml:space="preserve"> Jeffery </w:t>
      </w:r>
      <w:proofErr w:type="spellStart"/>
      <w:r w:rsidRPr="00621B9E">
        <w:rPr>
          <w:szCs w:val="20"/>
        </w:rPr>
        <w:t>Jowell</w:t>
      </w:r>
      <w:proofErr w:type="spellEnd"/>
      <w:r w:rsidRPr="00621B9E">
        <w:rPr>
          <w:szCs w:val="20"/>
        </w:rPr>
        <w:t xml:space="preserve"> and Dawn Oliver, </w:t>
      </w:r>
      <w:r w:rsidRPr="00621B9E">
        <w:rPr>
          <w:i/>
          <w:szCs w:val="20"/>
        </w:rPr>
        <w:t xml:space="preserve">The Changing Constitution </w:t>
      </w:r>
      <w:r w:rsidRPr="00621B9E">
        <w:rPr>
          <w:szCs w:val="20"/>
        </w:rPr>
        <w:t xml:space="preserve">(OUP 2011) </w:t>
      </w:r>
    </w:p>
  </w:footnote>
  <w:footnote w:id="62">
    <w:p w:rsidR="00FC550C" w:rsidRPr="00621B9E" w:rsidRDefault="00FC550C" w:rsidP="00FC550C">
      <w:pPr>
        <w:pStyle w:val="a8"/>
        <w:rPr>
          <w:szCs w:val="20"/>
        </w:rPr>
      </w:pPr>
      <w:r w:rsidRPr="00621B9E">
        <w:rPr>
          <w:rStyle w:val="a7"/>
          <w:szCs w:val="20"/>
        </w:rPr>
        <w:footnoteRef/>
      </w:r>
      <w:r w:rsidRPr="00621B9E">
        <w:rPr>
          <w:szCs w:val="20"/>
        </w:rPr>
        <w:t xml:space="preserve"> Section 2(2)(b) FOIA </w:t>
      </w:r>
    </w:p>
  </w:footnote>
  <w:footnote w:id="63">
    <w:p w:rsidR="00FC550C" w:rsidRPr="00621B9E" w:rsidRDefault="00FC550C" w:rsidP="00FC550C">
      <w:pPr>
        <w:pStyle w:val="a8"/>
        <w:rPr>
          <w:szCs w:val="20"/>
        </w:rPr>
      </w:pPr>
      <w:r w:rsidRPr="00621B9E">
        <w:rPr>
          <w:rStyle w:val="a7"/>
          <w:szCs w:val="20"/>
        </w:rPr>
        <w:footnoteRef/>
      </w:r>
      <w:r w:rsidRPr="00621B9E">
        <w:rPr>
          <w:szCs w:val="20"/>
        </w:rPr>
        <w:t xml:space="preserve"> </w:t>
      </w:r>
      <w:r w:rsidRPr="00621B9E">
        <w:rPr>
          <w:i/>
          <w:szCs w:val="20"/>
        </w:rPr>
        <w:t>University of Central Lancashire v Information Commissioner</w:t>
      </w:r>
      <w:r w:rsidRPr="00621B9E">
        <w:rPr>
          <w:szCs w:val="20"/>
        </w:rPr>
        <w:t xml:space="preserve"> EA/2009/0034 at [16]; see Section 2 and Section 36(2)(b) FOIA </w:t>
      </w:r>
    </w:p>
  </w:footnote>
  <w:footnote w:id="64">
    <w:p w:rsidR="00FC550C" w:rsidRPr="00621B9E" w:rsidRDefault="00FC550C" w:rsidP="00FC550C">
      <w:pPr>
        <w:pStyle w:val="a8"/>
        <w:rPr>
          <w:szCs w:val="20"/>
        </w:rPr>
      </w:pPr>
      <w:r w:rsidRPr="00621B9E">
        <w:rPr>
          <w:rStyle w:val="a7"/>
          <w:szCs w:val="20"/>
        </w:rPr>
        <w:footnoteRef/>
      </w:r>
      <w:r w:rsidRPr="00621B9E">
        <w:rPr>
          <w:szCs w:val="20"/>
        </w:rPr>
        <w:t xml:space="preserve"> Section 36(5)(a) FOIA </w:t>
      </w:r>
    </w:p>
  </w:footnote>
  <w:footnote w:id="65">
    <w:p w:rsidR="00FC550C" w:rsidRPr="00621B9E" w:rsidRDefault="00FC550C" w:rsidP="00FC550C">
      <w:pPr>
        <w:pStyle w:val="a8"/>
        <w:rPr>
          <w:szCs w:val="20"/>
        </w:rPr>
      </w:pPr>
      <w:r w:rsidRPr="00621B9E">
        <w:rPr>
          <w:rStyle w:val="a7"/>
          <w:szCs w:val="20"/>
        </w:rPr>
        <w:footnoteRef/>
      </w:r>
      <w:r w:rsidRPr="00621B9E">
        <w:rPr>
          <w:szCs w:val="20"/>
        </w:rPr>
        <w:t xml:space="preserve"> EA/2008/0090 at [20] </w:t>
      </w:r>
    </w:p>
  </w:footnote>
  <w:footnote w:id="66">
    <w:p w:rsidR="00FC550C" w:rsidRPr="00621B9E" w:rsidRDefault="00FC550C" w:rsidP="00FC550C">
      <w:pPr>
        <w:pStyle w:val="a8"/>
        <w:rPr>
          <w:szCs w:val="20"/>
        </w:rPr>
      </w:pPr>
      <w:r w:rsidRPr="00621B9E">
        <w:rPr>
          <w:rStyle w:val="a7"/>
          <w:szCs w:val="20"/>
        </w:rPr>
        <w:footnoteRef/>
      </w:r>
      <w:r w:rsidRPr="00621B9E">
        <w:rPr>
          <w:szCs w:val="20"/>
        </w:rPr>
        <w:t xml:space="preserve"> Decision Notice FS50126011, Cabinet Office at [19] </w:t>
      </w:r>
    </w:p>
  </w:footnote>
  <w:footnote w:id="67">
    <w:p w:rsidR="00FC550C" w:rsidRPr="00621B9E" w:rsidRDefault="00FC550C" w:rsidP="00FC550C">
      <w:pPr>
        <w:pStyle w:val="a8"/>
        <w:rPr>
          <w:szCs w:val="20"/>
        </w:rPr>
      </w:pPr>
      <w:r w:rsidRPr="00621B9E">
        <w:rPr>
          <w:rStyle w:val="a7"/>
          <w:szCs w:val="20"/>
        </w:rPr>
        <w:footnoteRef/>
      </w:r>
      <w:r w:rsidRPr="00621B9E">
        <w:rPr>
          <w:szCs w:val="20"/>
        </w:rPr>
        <w:t xml:space="preserve"> </w:t>
      </w:r>
      <w:r w:rsidRPr="00621B9E">
        <w:rPr>
          <w:i/>
          <w:szCs w:val="20"/>
        </w:rPr>
        <w:t>University of Central Lancashire v Information Commissioner</w:t>
      </w:r>
      <w:r w:rsidRPr="00621B9E">
        <w:rPr>
          <w:szCs w:val="20"/>
        </w:rPr>
        <w:t xml:space="preserve"> EA/2009/0034 at [61] </w:t>
      </w:r>
    </w:p>
  </w:footnote>
  <w:footnote w:id="68">
    <w:p w:rsidR="00FC550C" w:rsidRPr="00621B9E" w:rsidRDefault="00FC550C" w:rsidP="00FC550C">
      <w:pPr>
        <w:pStyle w:val="a8"/>
        <w:rPr>
          <w:szCs w:val="20"/>
        </w:rPr>
      </w:pPr>
      <w:r w:rsidRPr="00621B9E">
        <w:rPr>
          <w:rStyle w:val="a7"/>
          <w:szCs w:val="20"/>
        </w:rPr>
        <w:footnoteRef/>
      </w:r>
      <w:r w:rsidRPr="00621B9E">
        <w:rPr>
          <w:szCs w:val="20"/>
        </w:rPr>
        <w:t xml:space="preserve"> Decision Notice FS50427906, Cabinet Office at [52] and [56] </w:t>
      </w:r>
    </w:p>
  </w:footnote>
  <w:footnote w:id="69">
    <w:p w:rsidR="00FC550C" w:rsidRPr="00621B9E" w:rsidRDefault="00FC550C" w:rsidP="00FC550C">
      <w:pPr>
        <w:pStyle w:val="a8"/>
        <w:rPr>
          <w:szCs w:val="20"/>
        </w:rPr>
      </w:pPr>
      <w:r w:rsidRPr="00621B9E">
        <w:rPr>
          <w:rStyle w:val="a7"/>
          <w:szCs w:val="20"/>
        </w:rPr>
        <w:footnoteRef/>
      </w:r>
      <w:r w:rsidRPr="00621B9E">
        <w:rPr>
          <w:szCs w:val="20"/>
        </w:rPr>
        <w:t xml:space="preserve"> Decision Notice FS50463251, Department of Work and Pensions at [21] </w:t>
      </w:r>
    </w:p>
  </w:footnote>
  <w:footnote w:id="70">
    <w:p w:rsidR="00FC550C" w:rsidRPr="00621B9E" w:rsidRDefault="00FC550C" w:rsidP="00FC550C">
      <w:pPr>
        <w:pStyle w:val="a9"/>
        <w:spacing w:before="0" w:beforeAutospacing="0" w:after="0" w:afterAutospacing="0"/>
        <w:rPr>
          <w:rFonts w:ascii="Times New Roman" w:hAnsi="Times New Roman"/>
        </w:rPr>
      </w:pPr>
      <w:r w:rsidRPr="00621B9E">
        <w:rPr>
          <w:rStyle w:val="a7"/>
          <w:rFonts w:ascii="Times New Roman" w:hAnsi="Times New Roman"/>
        </w:rPr>
        <w:footnoteRef/>
      </w:r>
      <w:r w:rsidRPr="00621B9E">
        <w:rPr>
          <w:rFonts w:ascii="Times New Roman" w:hAnsi="Times New Roman"/>
        </w:rPr>
        <w:t xml:space="preserve"> Decision Notice FS50470818, Haringey Council [81]-[84] </w:t>
      </w:r>
    </w:p>
  </w:footnote>
  <w:footnote w:id="71">
    <w:p w:rsidR="00FC550C" w:rsidRPr="00621B9E" w:rsidRDefault="00FC550C" w:rsidP="00FC550C">
      <w:pPr>
        <w:pStyle w:val="a8"/>
        <w:rPr>
          <w:szCs w:val="20"/>
        </w:rPr>
      </w:pPr>
      <w:r w:rsidRPr="00621B9E">
        <w:rPr>
          <w:rStyle w:val="a7"/>
          <w:szCs w:val="20"/>
        </w:rPr>
        <w:footnoteRef/>
      </w:r>
      <w:r w:rsidRPr="00621B9E">
        <w:rPr>
          <w:szCs w:val="20"/>
        </w:rPr>
        <w:t xml:space="preserve"> Decision Notice FS50470818, </w:t>
      </w:r>
      <w:proofErr w:type="spellStart"/>
      <w:r w:rsidRPr="00621B9E">
        <w:rPr>
          <w:szCs w:val="20"/>
        </w:rPr>
        <w:t>Haringey</w:t>
      </w:r>
      <w:proofErr w:type="spellEnd"/>
      <w:r w:rsidRPr="00621B9E">
        <w:rPr>
          <w:szCs w:val="20"/>
        </w:rPr>
        <w:t xml:space="preserve"> Council [95]-[96]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21A1"/>
    <w:multiLevelType w:val="hybridMultilevel"/>
    <w:tmpl w:val="B232E008"/>
    <w:lvl w:ilvl="0" w:tplc="E69A5130">
      <w:start w:val="4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01967A85"/>
    <w:multiLevelType w:val="hybridMultilevel"/>
    <w:tmpl w:val="2634E200"/>
    <w:lvl w:ilvl="0" w:tplc="539AD2AE">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173BA5"/>
    <w:multiLevelType w:val="hybridMultilevel"/>
    <w:tmpl w:val="D2E05CCE"/>
    <w:lvl w:ilvl="0" w:tplc="306618A0">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09FE0504"/>
    <w:multiLevelType w:val="hybridMultilevel"/>
    <w:tmpl w:val="4D66B362"/>
    <w:lvl w:ilvl="0" w:tplc="A01CE2DE">
      <w:start w:val="1"/>
      <w:numFmt w:val="decimal"/>
      <w:lvlText w:val="(%1)"/>
      <w:lvlJc w:val="left"/>
      <w:pPr>
        <w:ind w:left="360" w:hanging="360"/>
      </w:pPr>
      <w:rPr>
        <w:rFonts w:hint="default"/>
      </w:rPr>
    </w:lvl>
    <w:lvl w:ilvl="1" w:tplc="1870DF9E">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82B5980"/>
    <w:multiLevelType w:val="hybridMultilevel"/>
    <w:tmpl w:val="964209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69C5920"/>
    <w:multiLevelType w:val="hybridMultilevel"/>
    <w:tmpl w:val="2912F924"/>
    <w:lvl w:ilvl="0" w:tplc="776CF73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8821D50"/>
    <w:multiLevelType w:val="hybridMultilevel"/>
    <w:tmpl w:val="E34C5B2E"/>
    <w:lvl w:ilvl="0" w:tplc="361C3054">
      <w:start w:val="1"/>
      <w:numFmt w:val="decimal"/>
      <w:lvlText w:val="%1."/>
      <w:lvlJc w:val="left"/>
      <w:pPr>
        <w:ind w:left="720" w:hanging="360"/>
      </w:pPr>
      <w:rPr>
        <w:i w:val="0"/>
        <w:sz w:val="24"/>
        <w:szCs w:val="24"/>
      </w:rPr>
    </w:lvl>
    <w:lvl w:ilvl="1" w:tplc="620CCD4E">
      <w:start w:val="1"/>
      <w:numFmt w:val="lowerLetter"/>
      <w:lvlText w:val="%2."/>
      <w:lvlJc w:val="left"/>
      <w:pPr>
        <w:ind w:left="1440" w:hanging="360"/>
      </w:pPr>
      <w:rPr>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E97916"/>
    <w:multiLevelType w:val="hybridMultilevel"/>
    <w:tmpl w:val="046299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1687D31"/>
    <w:multiLevelType w:val="hybridMultilevel"/>
    <w:tmpl w:val="21342610"/>
    <w:lvl w:ilvl="0" w:tplc="1F9AD344">
      <w:start w:val="36"/>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2172E31"/>
    <w:multiLevelType w:val="hybridMultilevel"/>
    <w:tmpl w:val="AC047F3C"/>
    <w:lvl w:ilvl="0" w:tplc="1870DF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98B0E35"/>
    <w:multiLevelType w:val="hybridMultilevel"/>
    <w:tmpl w:val="7D244A72"/>
    <w:lvl w:ilvl="0" w:tplc="8B06F16C">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C2440B4"/>
    <w:multiLevelType w:val="hybridMultilevel"/>
    <w:tmpl w:val="B904601A"/>
    <w:lvl w:ilvl="0" w:tplc="A01CE2DE">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52362D9D"/>
    <w:multiLevelType w:val="hybridMultilevel"/>
    <w:tmpl w:val="FA9CDF2A"/>
    <w:lvl w:ilvl="0" w:tplc="098CC33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CE74F3D"/>
    <w:multiLevelType w:val="hybridMultilevel"/>
    <w:tmpl w:val="F4C61306"/>
    <w:lvl w:ilvl="0" w:tplc="635A0C22">
      <w:numFmt w:val="bullet"/>
      <w:lvlText w:val="-"/>
      <w:lvlJc w:val="left"/>
      <w:pPr>
        <w:ind w:left="720" w:hanging="360"/>
      </w:pPr>
      <w:rPr>
        <w:rFonts w:ascii="Palatino" w:eastAsia="Cambria" w:hAnsi="Palatino"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nsid w:val="67C37E08"/>
    <w:multiLevelType w:val="hybridMultilevel"/>
    <w:tmpl w:val="283AB29E"/>
    <w:lvl w:ilvl="0" w:tplc="361C3054">
      <w:start w:val="1"/>
      <w:numFmt w:val="decimal"/>
      <w:lvlText w:val="%1."/>
      <w:lvlJc w:val="left"/>
      <w:pPr>
        <w:ind w:left="720" w:hanging="360"/>
      </w:pPr>
      <w:rPr>
        <w:i w:val="0"/>
        <w:sz w:val="24"/>
        <w:szCs w:val="24"/>
      </w:rPr>
    </w:lvl>
    <w:lvl w:ilvl="1" w:tplc="620CCD4E">
      <w:start w:val="1"/>
      <w:numFmt w:val="lowerLetter"/>
      <w:lvlText w:val="%2."/>
      <w:lvlJc w:val="left"/>
      <w:pPr>
        <w:ind w:left="1440" w:hanging="360"/>
      </w:pPr>
      <w:rPr>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9C7D3A"/>
    <w:multiLevelType w:val="hybridMultilevel"/>
    <w:tmpl w:val="378C72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C86A7D"/>
    <w:multiLevelType w:val="hybridMultilevel"/>
    <w:tmpl w:val="01CE9526"/>
    <w:lvl w:ilvl="0" w:tplc="A01CE2D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7A2D68F1"/>
    <w:multiLevelType w:val="hybridMultilevel"/>
    <w:tmpl w:val="39D2AF8A"/>
    <w:lvl w:ilvl="0" w:tplc="DC007EE0">
      <w:start w:val="2"/>
      <w:numFmt w:val="decimal"/>
      <w:lvlText w:val="(%1)"/>
      <w:lvlJc w:val="left"/>
      <w:pPr>
        <w:ind w:left="360" w:hanging="360"/>
      </w:pPr>
      <w:rPr>
        <w:rFonts w:hint="default"/>
      </w:rPr>
    </w:lvl>
    <w:lvl w:ilvl="1" w:tplc="AED4A12E">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A710237"/>
    <w:multiLevelType w:val="multilevel"/>
    <w:tmpl w:val="60F4F226"/>
    <w:styleLink w:val="List0"/>
    <w:lvl w:ilvl="0">
      <w:start w:val="1"/>
      <w:numFmt w:val="decimal"/>
      <w:lvlText w:val="%1."/>
      <w:lvlJc w:val="left"/>
      <w:rPr>
        <w:position w:val="0"/>
        <w:rtl w:val="0"/>
        <w:lang w:val="en-US"/>
      </w:rPr>
    </w:lvl>
    <w:lvl w:ilvl="1">
      <w:start w:val="1"/>
      <w:numFmt w:val="lowerLetter"/>
      <w:lvlText w:val="%2."/>
      <w:lvlJc w:val="left"/>
      <w:rPr>
        <w:position w:val="0"/>
        <w:rtl w:val="0"/>
        <w:lang w:val="en-US"/>
      </w:rPr>
    </w:lvl>
    <w:lvl w:ilvl="2">
      <w:start w:val="1"/>
      <w:numFmt w:val="lowerRoman"/>
      <w:lvlText w:val="%3."/>
      <w:lvlJc w:val="left"/>
      <w:rPr>
        <w:position w:val="0"/>
        <w:rtl w:val="0"/>
        <w:lang w:val="en-US"/>
      </w:rPr>
    </w:lvl>
    <w:lvl w:ilvl="3">
      <w:start w:val="1"/>
      <w:numFmt w:val="decimal"/>
      <w:lvlText w:val="%4."/>
      <w:lvlJc w:val="left"/>
      <w:rPr>
        <w:position w:val="0"/>
        <w:rtl w:val="0"/>
        <w:lang w:val="en-US"/>
      </w:rPr>
    </w:lvl>
    <w:lvl w:ilvl="4">
      <w:start w:val="1"/>
      <w:numFmt w:val="lowerLetter"/>
      <w:lvlText w:val="%5."/>
      <w:lvlJc w:val="left"/>
      <w:rPr>
        <w:position w:val="0"/>
        <w:rtl w:val="0"/>
        <w:lang w:val="en-US"/>
      </w:rPr>
    </w:lvl>
    <w:lvl w:ilvl="5">
      <w:start w:val="1"/>
      <w:numFmt w:val="lowerRoman"/>
      <w:lvlText w:val="%6."/>
      <w:lvlJc w:val="left"/>
      <w:rPr>
        <w:position w:val="0"/>
        <w:rtl w:val="0"/>
        <w:lang w:val="en-US"/>
      </w:rPr>
    </w:lvl>
    <w:lvl w:ilvl="6">
      <w:start w:val="1"/>
      <w:numFmt w:val="decimal"/>
      <w:lvlText w:val="%7."/>
      <w:lvlJc w:val="left"/>
      <w:rPr>
        <w:position w:val="0"/>
        <w:rtl w:val="0"/>
        <w:lang w:val="en-US"/>
      </w:rPr>
    </w:lvl>
    <w:lvl w:ilvl="7">
      <w:start w:val="1"/>
      <w:numFmt w:val="lowerLetter"/>
      <w:lvlText w:val="%8."/>
      <w:lvlJc w:val="left"/>
      <w:rPr>
        <w:position w:val="0"/>
        <w:rtl w:val="0"/>
        <w:lang w:val="en-US"/>
      </w:rPr>
    </w:lvl>
    <w:lvl w:ilvl="8">
      <w:start w:val="1"/>
      <w:numFmt w:val="lowerRoman"/>
      <w:lvlText w:val="%9."/>
      <w:lvlJc w:val="left"/>
      <w:rPr>
        <w:position w:val="0"/>
        <w:rtl w:val="0"/>
        <w:lang w:val="en-US"/>
      </w:rPr>
    </w:lvl>
  </w:abstractNum>
  <w:num w:numId="1">
    <w:abstractNumId w:val="13"/>
  </w:num>
  <w:num w:numId="2">
    <w:abstractNumId w:val="4"/>
  </w:num>
  <w:num w:numId="3">
    <w:abstractNumId w:val="7"/>
  </w:num>
  <w:num w:numId="4">
    <w:abstractNumId w:val="18"/>
    <w:lvlOverride w:ilvl="0">
      <w:lvl w:ilvl="0">
        <w:start w:val="1"/>
        <w:numFmt w:val="decimal"/>
        <w:lvlText w:val="%1."/>
        <w:lvlJc w:val="left"/>
        <w:rPr>
          <w:rFonts w:ascii="Times New Roman" w:hAnsi="Times New Roman" w:cs="Times New Roman" w:hint="default"/>
          <w:position w:val="0"/>
          <w:rtl w:val="0"/>
          <w:lang w:val="en-US"/>
        </w:rPr>
      </w:lvl>
    </w:lvlOverride>
  </w:num>
  <w:num w:numId="5">
    <w:abstractNumId w:val="18"/>
  </w:num>
  <w:num w:numId="6">
    <w:abstractNumId w:val="6"/>
  </w:num>
  <w:num w:numId="7">
    <w:abstractNumId w:val="14"/>
  </w:num>
  <w:num w:numId="8">
    <w:abstractNumId w:val="9"/>
  </w:num>
  <w:num w:numId="9">
    <w:abstractNumId w:val="11"/>
  </w:num>
  <w:num w:numId="10">
    <w:abstractNumId w:val="3"/>
  </w:num>
  <w:num w:numId="11">
    <w:abstractNumId w:val="12"/>
  </w:num>
  <w:num w:numId="12">
    <w:abstractNumId w:val="5"/>
  </w:num>
  <w:num w:numId="13">
    <w:abstractNumId w:val="8"/>
  </w:num>
  <w:num w:numId="14">
    <w:abstractNumId w:val="10"/>
  </w:num>
  <w:num w:numId="15">
    <w:abstractNumId w:val="17"/>
  </w:num>
  <w:num w:numId="16">
    <w:abstractNumId w:val="1"/>
  </w:num>
  <w:num w:numId="17">
    <w:abstractNumId w:val="0"/>
  </w:num>
  <w:num w:numId="18">
    <w:abstractNumId w:val="2"/>
  </w:num>
  <w:num w:numId="19">
    <w:abstractNumId w:val="16"/>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proofState w:spelling="clean" w:grammar="clean"/>
  <w:doNotTrackMoves/>
  <w:defaultTabStop w:val="720"/>
  <w:characterSpacingControl w:val="doNotCompress"/>
  <w:hdrShapeDefaults>
    <o:shapedefaults v:ext="edit" spidmax="4098"/>
  </w:hdrShapeDefaults>
  <w:footnotePr>
    <w:footnote w:id="-1"/>
    <w:footnote w:id="0"/>
  </w:footnotePr>
  <w:endnotePr>
    <w:endnote w:id="-1"/>
    <w:endnote w:id="0"/>
  </w:endnotePr>
  <w:compat>
    <w:useFELayout/>
  </w:compat>
  <w:rsids>
    <w:rsidRoot w:val="00EF417A"/>
    <w:rsid w:val="00183D1B"/>
    <w:rsid w:val="00187DF3"/>
    <w:rsid w:val="00223580"/>
    <w:rsid w:val="002E2E7F"/>
    <w:rsid w:val="00485390"/>
    <w:rsid w:val="004D1FF9"/>
    <w:rsid w:val="005B2FE7"/>
    <w:rsid w:val="006A5E37"/>
    <w:rsid w:val="007867B3"/>
    <w:rsid w:val="007D4BEE"/>
    <w:rsid w:val="007F4B91"/>
    <w:rsid w:val="00846F9B"/>
    <w:rsid w:val="009B0C35"/>
    <w:rsid w:val="00A25E8A"/>
    <w:rsid w:val="00CC2280"/>
    <w:rsid w:val="00DC45FC"/>
    <w:rsid w:val="00EF417A"/>
    <w:rsid w:val="00FC55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17A"/>
    <w:pPr>
      <w:spacing w:after="0" w:line="240" w:lineRule="auto"/>
    </w:pPr>
    <w:rPr>
      <w:rFonts w:ascii="Cambria" w:eastAsia="Cambria" w:hAnsi="Cambria" w:cs="Times New Roman"/>
      <w:sz w:val="24"/>
      <w:szCs w:val="24"/>
    </w:rPr>
  </w:style>
  <w:style w:type="paragraph" w:styleId="1">
    <w:name w:val="heading 1"/>
    <w:basedOn w:val="a"/>
    <w:next w:val="a"/>
    <w:link w:val="1Char"/>
    <w:uiPriority w:val="9"/>
    <w:qFormat/>
    <w:rsid w:val="007867B3"/>
    <w:pPr>
      <w:keepNext/>
      <w:keepLines/>
      <w:spacing w:before="340" w:after="330" w:line="578" w:lineRule="auto"/>
      <w:outlineLvl w:val="0"/>
    </w:pPr>
    <w:rPr>
      <w:b/>
      <w:bCs/>
      <w:kern w:val="44"/>
      <w:sz w:val="44"/>
      <w:szCs w:val="44"/>
    </w:rPr>
  </w:style>
  <w:style w:type="paragraph" w:styleId="3">
    <w:name w:val="heading 3"/>
    <w:basedOn w:val="a"/>
    <w:next w:val="a"/>
    <w:link w:val="3Char"/>
    <w:semiHidden/>
    <w:unhideWhenUsed/>
    <w:qFormat/>
    <w:rsid w:val="00EF417A"/>
    <w:pPr>
      <w:keepNext/>
      <w:jc w:val="center"/>
      <w:outlineLvl w:val="2"/>
    </w:pPr>
    <w:rPr>
      <w:rFonts w:ascii="Times New Roman" w:eastAsia="Times New Roman" w:hAnsi="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semiHidden/>
    <w:rsid w:val="00EF417A"/>
    <w:rPr>
      <w:rFonts w:ascii="Times New Roman" w:eastAsia="Times New Roman" w:hAnsi="Times New Roman" w:cs="Times New Roman"/>
      <w:b/>
      <w:sz w:val="24"/>
      <w:szCs w:val="20"/>
    </w:rPr>
  </w:style>
  <w:style w:type="paragraph" w:styleId="a3">
    <w:name w:val="List Paragraph"/>
    <w:basedOn w:val="a"/>
    <w:uiPriority w:val="34"/>
    <w:qFormat/>
    <w:rsid w:val="00EF417A"/>
    <w:pPr>
      <w:ind w:left="720"/>
      <w:contextualSpacing/>
    </w:pPr>
  </w:style>
  <w:style w:type="paragraph" w:styleId="a4">
    <w:name w:val="header"/>
    <w:basedOn w:val="a"/>
    <w:link w:val="Char"/>
    <w:uiPriority w:val="99"/>
    <w:semiHidden/>
    <w:unhideWhenUsed/>
    <w:rsid w:val="00187D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187DF3"/>
    <w:rPr>
      <w:rFonts w:ascii="Cambria" w:eastAsia="Cambria" w:hAnsi="Cambria" w:cs="Times New Roman"/>
      <w:sz w:val="18"/>
      <w:szCs w:val="18"/>
    </w:rPr>
  </w:style>
  <w:style w:type="paragraph" w:styleId="a5">
    <w:name w:val="footer"/>
    <w:basedOn w:val="a"/>
    <w:link w:val="Char0"/>
    <w:uiPriority w:val="99"/>
    <w:unhideWhenUsed/>
    <w:rsid w:val="00187DF3"/>
    <w:pPr>
      <w:tabs>
        <w:tab w:val="center" w:pos="4153"/>
        <w:tab w:val="right" w:pos="8306"/>
      </w:tabs>
      <w:snapToGrid w:val="0"/>
    </w:pPr>
    <w:rPr>
      <w:sz w:val="18"/>
      <w:szCs w:val="18"/>
    </w:rPr>
  </w:style>
  <w:style w:type="character" w:customStyle="1" w:styleId="Char0">
    <w:name w:val="页脚 Char"/>
    <w:basedOn w:val="a0"/>
    <w:link w:val="a5"/>
    <w:uiPriority w:val="99"/>
    <w:rsid w:val="00187DF3"/>
    <w:rPr>
      <w:rFonts w:ascii="Cambria" w:eastAsia="Cambria" w:hAnsi="Cambria" w:cs="Times New Roman"/>
      <w:sz w:val="18"/>
      <w:szCs w:val="18"/>
    </w:rPr>
  </w:style>
  <w:style w:type="paragraph" w:customStyle="1" w:styleId="BodyA">
    <w:name w:val="Body A"/>
    <w:rsid w:val="00187DF3"/>
    <w:pPr>
      <w:pBdr>
        <w:top w:val="nil"/>
        <w:left w:val="nil"/>
        <w:bottom w:val="nil"/>
        <w:right w:val="nil"/>
        <w:between w:val="nil"/>
        <w:bar w:val="nil"/>
      </w:pBdr>
      <w:spacing w:after="0" w:line="240" w:lineRule="auto"/>
    </w:pPr>
    <w:rPr>
      <w:rFonts w:ascii="Cambria" w:eastAsia="Cambria" w:hAnsi="Cambria" w:cs="Cambria"/>
      <w:color w:val="000000"/>
      <w:sz w:val="24"/>
      <w:szCs w:val="24"/>
      <w:u w:color="000000"/>
      <w:bdr w:val="nil"/>
      <w:lang w:val="en-US"/>
    </w:rPr>
  </w:style>
  <w:style w:type="numbering" w:customStyle="1" w:styleId="List0">
    <w:name w:val="List 0"/>
    <w:basedOn w:val="a2"/>
    <w:rsid w:val="00187DF3"/>
    <w:pPr>
      <w:numPr>
        <w:numId w:val="4"/>
      </w:numPr>
    </w:pPr>
  </w:style>
  <w:style w:type="paragraph" w:styleId="a6">
    <w:name w:val="footnote text"/>
    <w:basedOn w:val="a"/>
    <w:link w:val="Char1"/>
    <w:uiPriority w:val="99"/>
    <w:unhideWhenUsed/>
    <w:rsid w:val="00187DF3"/>
    <w:pPr>
      <w:pBdr>
        <w:top w:val="nil"/>
        <w:left w:val="nil"/>
        <w:bottom w:val="nil"/>
        <w:right w:val="nil"/>
        <w:between w:val="nil"/>
        <w:bar w:val="nil"/>
      </w:pBdr>
    </w:pPr>
    <w:rPr>
      <w:rFonts w:ascii="Times New Roman" w:eastAsia="Arial Unicode MS" w:hAnsi="Times New Roman"/>
      <w:bdr w:val="nil"/>
      <w:lang w:val="en-US"/>
    </w:rPr>
  </w:style>
  <w:style w:type="character" w:customStyle="1" w:styleId="Char1">
    <w:name w:val="脚注文本 Char"/>
    <w:basedOn w:val="a0"/>
    <w:link w:val="a6"/>
    <w:uiPriority w:val="99"/>
    <w:rsid w:val="00187DF3"/>
    <w:rPr>
      <w:rFonts w:ascii="Times New Roman" w:eastAsia="Arial Unicode MS" w:hAnsi="Times New Roman" w:cs="Times New Roman"/>
      <w:sz w:val="24"/>
      <w:szCs w:val="24"/>
      <w:bdr w:val="nil"/>
      <w:lang w:val="en-US"/>
    </w:rPr>
  </w:style>
  <w:style w:type="character" w:styleId="a7">
    <w:name w:val="footnote reference"/>
    <w:basedOn w:val="a0"/>
    <w:uiPriority w:val="99"/>
    <w:unhideWhenUsed/>
    <w:rsid w:val="00187DF3"/>
    <w:rPr>
      <w:vertAlign w:val="superscript"/>
    </w:rPr>
  </w:style>
  <w:style w:type="paragraph" w:styleId="a8">
    <w:name w:val="No Spacing"/>
    <w:aliases w:val="Footnote"/>
    <w:uiPriority w:val="1"/>
    <w:qFormat/>
    <w:rsid w:val="00187DF3"/>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a9">
    <w:name w:val="Normal (Web)"/>
    <w:basedOn w:val="a"/>
    <w:uiPriority w:val="99"/>
    <w:unhideWhenUsed/>
    <w:rsid w:val="00FC550C"/>
    <w:pPr>
      <w:spacing w:before="100" w:beforeAutospacing="1" w:after="100" w:afterAutospacing="1"/>
    </w:pPr>
    <w:rPr>
      <w:rFonts w:ascii="Times" w:eastAsiaTheme="minorEastAsia" w:hAnsi="Times"/>
      <w:sz w:val="20"/>
      <w:szCs w:val="20"/>
    </w:rPr>
  </w:style>
  <w:style w:type="character" w:styleId="aa">
    <w:name w:val="Hyperlink"/>
    <w:basedOn w:val="a0"/>
    <w:uiPriority w:val="99"/>
    <w:unhideWhenUsed/>
    <w:rsid w:val="00FC550C"/>
    <w:rPr>
      <w:color w:val="0000FF" w:themeColor="hyperlink"/>
      <w:u w:val="single"/>
    </w:rPr>
  </w:style>
  <w:style w:type="paragraph" w:styleId="ab">
    <w:name w:val="Balloon Text"/>
    <w:basedOn w:val="a"/>
    <w:link w:val="Char2"/>
    <w:uiPriority w:val="99"/>
    <w:semiHidden/>
    <w:unhideWhenUsed/>
    <w:rsid w:val="00FC550C"/>
    <w:rPr>
      <w:sz w:val="18"/>
      <w:szCs w:val="18"/>
    </w:rPr>
  </w:style>
  <w:style w:type="character" w:customStyle="1" w:styleId="Char2">
    <w:name w:val="批注框文本 Char"/>
    <w:basedOn w:val="a0"/>
    <w:link w:val="ab"/>
    <w:uiPriority w:val="99"/>
    <w:semiHidden/>
    <w:rsid w:val="00FC550C"/>
    <w:rPr>
      <w:rFonts w:ascii="Cambria" w:eastAsia="Cambria" w:hAnsi="Cambria" w:cs="Times New Roman"/>
      <w:sz w:val="18"/>
      <w:szCs w:val="18"/>
    </w:rPr>
  </w:style>
  <w:style w:type="character" w:customStyle="1" w:styleId="1Char">
    <w:name w:val="标题 1 Char"/>
    <w:basedOn w:val="a0"/>
    <w:link w:val="1"/>
    <w:uiPriority w:val="9"/>
    <w:rsid w:val="007867B3"/>
    <w:rPr>
      <w:rFonts w:ascii="Cambria" w:eastAsia="Cambria" w:hAnsi="Cambria" w:cs="Times New Roman"/>
      <w:b/>
      <w:bCs/>
      <w:kern w:val="44"/>
      <w:sz w:val="44"/>
      <w:szCs w:val="44"/>
    </w:rPr>
  </w:style>
  <w:style w:type="character" w:styleId="ac">
    <w:name w:val="Emphasis"/>
    <w:basedOn w:val="a0"/>
    <w:uiPriority w:val="20"/>
    <w:rsid w:val="007867B3"/>
    <w:rPr>
      <w:i/>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f.panda.org/about_our_earth/biodiversity/biodiversity/" TargetMode="External"/><Relationship Id="rId1" Type="http://schemas.openxmlformats.org/officeDocument/2006/relationships/hyperlink" Target="http://www.sciencedaily.com/releases/2013/06/13061711134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98195F-FCA3-4901-8406-1CADC6DEC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42</Pages>
  <Words>11994</Words>
  <Characters>68370</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Newnham College, University of Cambridge </Company>
  <LinksUpToDate>false</LinksUpToDate>
  <CharactersWithSpaces>80204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Gallop</dc:creator>
  <cp:lastModifiedBy>Yin</cp:lastModifiedBy>
  <cp:revision>4</cp:revision>
  <dcterms:created xsi:type="dcterms:W3CDTF">2014-03-13T14:33:00Z</dcterms:created>
  <dcterms:modified xsi:type="dcterms:W3CDTF">2014-03-18T06:26:00Z</dcterms:modified>
</cp:coreProperties>
</file>